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4E86" w14:textId="77777777" w:rsidR="009A4DE0" w:rsidRPr="005F59F9" w:rsidRDefault="00000000">
      <w:pPr>
        <w:rPr>
          <w:b/>
          <w:color w:val="000000" w:themeColor="text1"/>
          <w:sz w:val="24"/>
          <w:szCs w:val="24"/>
        </w:rPr>
      </w:pPr>
      <w:r w:rsidRPr="005F59F9">
        <w:rPr>
          <w:rFonts w:ascii="Century Gothic" w:eastAsia="Century Gothic" w:hAnsi="Century Gothic" w:cs="Century Gothic"/>
          <w:color w:val="000000" w:themeColor="text1"/>
          <w:sz w:val="18"/>
          <w:szCs w:val="18"/>
        </w:rPr>
        <w:t>The resource provides a framework for how Bilingual and ESL programs in Texas are funded, emphasizing the importance of using both state and federal funds effectively to support EB students. It outlines specific program categories, the funding allocations tied to them, and the rules governing how Title III funds are used</w:t>
      </w:r>
      <w:proofErr w:type="gramStart"/>
      <w:r w:rsidRPr="005F59F9">
        <w:rPr>
          <w:rFonts w:ascii="Century Gothic" w:eastAsia="Century Gothic" w:hAnsi="Century Gothic" w:cs="Century Gothic"/>
          <w:color w:val="000000" w:themeColor="text1"/>
          <w:sz w:val="18"/>
          <w:szCs w:val="18"/>
        </w:rPr>
        <w:t xml:space="preserve">.  </w:t>
      </w:r>
      <w:proofErr w:type="gramEnd"/>
      <w:r w:rsidRPr="005F59F9">
        <w:rPr>
          <w:rFonts w:ascii="Century Gothic" w:eastAsia="Century Gothic" w:hAnsi="Century Gothic" w:cs="Century Gothic"/>
          <w:color w:val="000000" w:themeColor="text1"/>
          <w:sz w:val="18"/>
          <w:szCs w:val="18"/>
        </w:rPr>
        <w:br/>
      </w:r>
    </w:p>
    <w:tbl>
      <w:tblPr>
        <w:tblStyle w:val="a"/>
        <w:tblW w:w="14340" w:type="dxa"/>
        <w:tblInd w:w="-2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58" w:type="dxa"/>
          <w:right w:w="58" w:type="dxa"/>
        </w:tblCellMar>
        <w:tblLook w:val="0400" w:firstRow="0" w:lastRow="0" w:firstColumn="0" w:lastColumn="0" w:noHBand="0" w:noVBand="1"/>
      </w:tblPr>
      <w:tblGrid>
        <w:gridCol w:w="2880"/>
        <w:gridCol w:w="5730"/>
        <w:gridCol w:w="5730"/>
      </w:tblGrid>
      <w:tr w:rsidR="009A4DE0" w14:paraId="06B2AEBF" w14:textId="77777777" w:rsidTr="005F59F9">
        <w:trPr>
          <w:trHeight w:val="234"/>
          <w:tblHeader/>
        </w:trPr>
        <w:tc>
          <w:tcPr>
            <w:tcW w:w="2880" w:type="dxa"/>
            <w:tcBorders>
              <w:top w:val="single" w:sz="4" w:space="0" w:color="666666"/>
              <w:left w:val="single" w:sz="4" w:space="0" w:color="666666"/>
              <w:bottom w:val="single" w:sz="4" w:space="0" w:color="666666"/>
              <w:right w:val="single" w:sz="4" w:space="0" w:color="666666"/>
            </w:tcBorders>
            <w:shd w:val="clear" w:color="auto" w:fill="660066"/>
            <w:tcMar>
              <w:top w:w="72" w:type="dxa"/>
              <w:left w:w="144" w:type="dxa"/>
              <w:bottom w:w="72" w:type="dxa"/>
              <w:right w:w="144" w:type="dxa"/>
            </w:tcMar>
            <w:vAlign w:val="center"/>
          </w:tcPr>
          <w:p w14:paraId="33426BEF"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Resource</w:t>
            </w:r>
          </w:p>
        </w:tc>
        <w:tc>
          <w:tcPr>
            <w:tcW w:w="5730" w:type="dxa"/>
            <w:tcBorders>
              <w:top w:val="single" w:sz="4" w:space="0" w:color="666666"/>
              <w:left w:val="single" w:sz="4" w:space="0" w:color="666666"/>
              <w:bottom w:val="single" w:sz="4" w:space="0" w:color="666666"/>
              <w:right w:val="single" w:sz="4" w:space="0" w:color="666666"/>
            </w:tcBorders>
            <w:shd w:val="clear" w:color="auto" w:fill="660066"/>
            <w:tcMar>
              <w:top w:w="72" w:type="dxa"/>
              <w:left w:w="144" w:type="dxa"/>
              <w:bottom w:w="72" w:type="dxa"/>
              <w:right w:w="144" w:type="dxa"/>
            </w:tcMar>
            <w:vAlign w:val="center"/>
          </w:tcPr>
          <w:p w14:paraId="1633700A"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Goals</w:t>
            </w:r>
          </w:p>
        </w:tc>
        <w:tc>
          <w:tcPr>
            <w:tcW w:w="5730" w:type="dxa"/>
            <w:tcBorders>
              <w:top w:val="single" w:sz="4" w:space="0" w:color="666666"/>
              <w:left w:val="single" w:sz="4" w:space="0" w:color="666666"/>
              <w:bottom w:val="single" w:sz="4" w:space="0" w:color="666666"/>
              <w:right w:val="single" w:sz="4" w:space="0" w:color="666666"/>
            </w:tcBorders>
            <w:shd w:val="clear" w:color="auto" w:fill="660066"/>
            <w:tcMar>
              <w:top w:w="72" w:type="dxa"/>
              <w:left w:w="144" w:type="dxa"/>
              <w:bottom w:w="72" w:type="dxa"/>
              <w:right w:w="144" w:type="dxa"/>
            </w:tcMar>
            <w:vAlign w:val="center"/>
          </w:tcPr>
          <w:p w14:paraId="4E5DFCA9"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Details</w:t>
            </w:r>
          </w:p>
        </w:tc>
      </w:tr>
      <w:tr w:rsidR="009A4DE0" w14:paraId="31508B96" w14:textId="77777777" w:rsidTr="005F59F9">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0FE69694"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Bilingual Education Allotment (BEA)</w:t>
            </w:r>
          </w:p>
        </w:tc>
        <w:tc>
          <w:tcPr>
            <w:tcW w:w="5730" w:type="dxa"/>
            <w:tcBorders>
              <w:top w:val="single" w:sz="4" w:space="0" w:color="666666"/>
              <w:left w:val="single" w:sz="4" w:space="0" w:color="666666"/>
              <w:bottom w:val="single" w:sz="4" w:space="0" w:color="666666"/>
              <w:right w:val="single" w:sz="4" w:space="0" w:color="666666"/>
            </w:tcBorders>
            <w:tcMar>
              <w:top w:w="0" w:type="dxa"/>
              <w:left w:w="58" w:type="dxa"/>
              <w:bottom w:w="0" w:type="dxa"/>
              <w:right w:w="58" w:type="dxa"/>
            </w:tcMar>
          </w:tcPr>
          <w:p w14:paraId="1C2B604B"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Program Types and Funding Weights:</w:t>
            </w:r>
          </w:p>
          <w:p w14:paraId="4719DD62" w14:textId="77777777" w:rsidR="009A4DE0" w:rsidRPr="004C21B6" w:rsidRDefault="00000000">
            <w:pPr>
              <w:numPr>
                <w:ilvl w:val="0"/>
                <w:numId w:val="4"/>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Transitional Bilingual Early Exit/Late Exit: 0.10</w:t>
            </w:r>
          </w:p>
          <w:p w14:paraId="464EE506" w14:textId="77777777" w:rsidR="009A4DE0" w:rsidRPr="004C21B6" w:rsidRDefault="00000000">
            <w:pPr>
              <w:numPr>
                <w:ilvl w:val="0"/>
                <w:numId w:val="4"/>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ESL Content-Based/Pull-Out: 0.10</w:t>
            </w:r>
          </w:p>
          <w:p w14:paraId="5BB4EAA6" w14:textId="77777777" w:rsidR="009A4DE0" w:rsidRPr="004C21B6" w:rsidRDefault="00000000">
            <w:pPr>
              <w:numPr>
                <w:ilvl w:val="0"/>
                <w:numId w:val="4"/>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Alternative Language Program (BE): 0.10</w:t>
            </w:r>
          </w:p>
          <w:p w14:paraId="469AC97B" w14:textId="77777777" w:rsidR="009A4DE0" w:rsidRPr="004C21B6" w:rsidRDefault="00000000">
            <w:pPr>
              <w:numPr>
                <w:ilvl w:val="0"/>
                <w:numId w:val="4"/>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Dual Language One-Way (</w:t>
            </w:r>
            <w:proofErr w:type="spellStart"/>
            <w:r w:rsidRPr="004C21B6">
              <w:rPr>
                <w:rFonts w:ascii="Century Gothic" w:eastAsia="Century Gothic" w:hAnsi="Century Gothic" w:cs="Century Gothic"/>
                <w:color w:val="000000" w:themeColor="text1"/>
                <w:sz w:val="20"/>
                <w:szCs w:val="20"/>
              </w:rPr>
              <w:t>D1</w:t>
            </w:r>
            <w:proofErr w:type="spellEnd"/>
            <w:r w:rsidRPr="004C21B6">
              <w:rPr>
                <w:rFonts w:ascii="Century Gothic" w:eastAsia="Century Gothic" w:hAnsi="Century Gothic" w:cs="Century Gothic"/>
                <w:color w:val="000000" w:themeColor="text1"/>
                <w:sz w:val="20"/>
                <w:szCs w:val="20"/>
              </w:rPr>
              <w:t>): 0.15</w:t>
            </w:r>
          </w:p>
          <w:p w14:paraId="3B305218" w14:textId="77777777" w:rsidR="009A4DE0" w:rsidRPr="004C21B6" w:rsidRDefault="00000000">
            <w:pPr>
              <w:numPr>
                <w:ilvl w:val="0"/>
                <w:numId w:val="4"/>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Dual Language Two-Way (</w:t>
            </w:r>
            <w:proofErr w:type="spellStart"/>
            <w:r w:rsidRPr="004C21B6">
              <w:rPr>
                <w:rFonts w:ascii="Century Gothic" w:eastAsia="Century Gothic" w:hAnsi="Century Gothic" w:cs="Century Gothic"/>
                <w:color w:val="000000" w:themeColor="text1"/>
                <w:sz w:val="20"/>
                <w:szCs w:val="20"/>
              </w:rPr>
              <w:t>D2</w:t>
            </w:r>
            <w:proofErr w:type="spellEnd"/>
            <w:r w:rsidRPr="004C21B6">
              <w:rPr>
                <w:rFonts w:ascii="Century Gothic" w:eastAsia="Century Gothic" w:hAnsi="Century Gothic" w:cs="Century Gothic"/>
                <w:color w:val="000000" w:themeColor="text1"/>
                <w:sz w:val="20"/>
                <w:szCs w:val="20"/>
              </w:rPr>
              <w:t>): 0.15 (EB), 0.05 (Non-EB)</w:t>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47CA3776"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Higher weights mean more financial support for schools with dual-language programs, encouraging bilingualism and biliteracy among EB and non-EB students.</w:t>
            </w:r>
          </w:p>
          <w:p w14:paraId="33BE946B" w14:textId="77777777" w:rsidR="009A4DE0" w:rsidRPr="004C21B6" w:rsidRDefault="009A4DE0">
            <w:pPr>
              <w:spacing w:after="0" w:line="240" w:lineRule="auto"/>
              <w:rPr>
                <w:rFonts w:ascii="Century Gothic" w:eastAsia="Century Gothic" w:hAnsi="Century Gothic" w:cs="Century Gothic"/>
                <w:color w:val="000000" w:themeColor="text1"/>
                <w:sz w:val="20"/>
                <w:szCs w:val="20"/>
              </w:rPr>
            </w:pPr>
          </w:p>
        </w:tc>
      </w:tr>
      <w:tr w:rsidR="009A4DE0" w14:paraId="67C5C78B" w14:textId="77777777" w:rsidTr="005F59F9">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7A07D49A"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Title III, Part A – English Language Acquisition</w:t>
            </w:r>
            <w:r w:rsidRPr="004C21B6">
              <w:rPr>
                <w:rFonts w:ascii="Century Gothic" w:eastAsia="Century Gothic" w:hAnsi="Century Gothic" w:cs="Century Gothic"/>
                <w:color w:val="000000" w:themeColor="text1"/>
                <w:sz w:val="20"/>
                <w:szCs w:val="20"/>
              </w:rPr>
              <w:tab/>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1974135B"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Title III Goals:</w:t>
            </w:r>
          </w:p>
          <w:p w14:paraId="151743D5" w14:textId="77777777" w:rsidR="009A4DE0" w:rsidRPr="004C21B6" w:rsidRDefault="00000000">
            <w:pPr>
              <w:numPr>
                <w:ilvl w:val="0"/>
                <w:numId w:val="8"/>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Attain English proficiency and meet academic standards.</w:t>
            </w:r>
          </w:p>
          <w:p w14:paraId="3891F794" w14:textId="77777777" w:rsidR="009A4DE0" w:rsidRPr="004C21B6" w:rsidRDefault="00000000">
            <w:pPr>
              <w:numPr>
                <w:ilvl w:val="0"/>
                <w:numId w:val="8"/>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Engage parents, family, and the community.</w:t>
            </w:r>
          </w:p>
          <w:p w14:paraId="52D3C141" w14:textId="77777777" w:rsidR="009A4DE0" w:rsidRPr="004C21B6" w:rsidRDefault="00000000">
            <w:pPr>
              <w:numPr>
                <w:ilvl w:val="0"/>
                <w:numId w:val="8"/>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Provide professional development and instructional materials.</w:t>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20A9C84F"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Supplement:</w:t>
            </w:r>
          </w:p>
          <w:p w14:paraId="2C76558B" w14:textId="77777777" w:rsidR="009A4DE0" w:rsidRPr="004C21B6" w:rsidRDefault="00000000">
            <w:pPr>
              <w:numPr>
                <w:ilvl w:val="0"/>
                <w:numId w:val="2"/>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Enhance programs with Title III funds.</w:t>
            </w:r>
          </w:p>
          <w:p w14:paraId="52BC7CFA"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 xml:space="preserve">Supplant: </w:t>
            </w:r>
          </w:p>
          <w:p w14:paraId="2413679A" w14:textId="77777777" w:rsidR="009A4DE0" w:rsidRPr="004C21B6" w:rsidRDefault="00000000">
            <w:pPr>
              <w:numPr>
                <w:ilvl w:val="0"/>
                <w:numId w:val="9"/>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Do not replace local or state funds with Title III funds for the same purpose.</w:t>
            </w:r>
          </w:p>
          <w:p w14:paraId="177A3E30"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 xml:space="preserve">Funding Allocation: </w:t>
            </w:r>
          </w:p>
          <w:p w14:paraId="47B0769A" w14:textId="77777777" w:rsidR="009A4DE0" w:rsidRPr="004C21B6" w:rsidRDefault="00000000">
            <w:pPr>
              <w:numPr>
                <w:ilvl w:val="0"/>
                <w:numId w:val="10"/>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LEA Allocation: 95% of Title III funds</w:t>
            </w:r>
          </w:p>
          <w:p w14:paraId="57C2D081" w14:textId="77777777" w:rsidR="009A4DE0" w:rsidRPr="004C21B6" w:rsidRDefault="00000000">
            <w:pPr>
              <w:numPr>
                <w:ilvl w:val="0"/>
                <w:numId w:val="10"/>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State Allocation (TEA): 5%</w:t>
            </w:r>
          </w:p>
        </w:tc>
      </w:tr>
      <w:tr w:rsidR="009A4DE0" w14:paraId="2E60EFD9" w14:textId="77777777" w:rsidTr="005F59F9">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298501CE"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BEA Usage Requirements</w:t>
            </w:r>
            <w:r w:rsidRPr="004C21B6">
              <w:rPr>
                <w:rFonts w:ascii="Century Gothic" w:eastAsia="Century Gothic" w:hAnsi="Century Gothic" w:cs="Century Gothic"/>
                <w:color w:val="000000" w:themeColor="text1"/>
                <w:sz w:val="20"/>
                <w:szCs w:val="20"/>
              </w:rPr>
              <w:tab/>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6EA2FB4C"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55% Minimum Usage:</w:t>
            </w:r>
          </w:p>
          <w:p w14:paraId="7D8F8D0A" w14:textId="77777777" w:rsidR="009A4DE0" w:rsidRPr="004C21B6" w:rsidRDefault="00000000">
            <w:pPr>
              <w:numPr>
                <w:ilvl w:val="0"/>
                <w:numId w:val="6"/>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At least 55% of BEA funds must be used for bilingual/ESL programs.</w:t>
            </w:r>
          </w:p>
          <w:p w14:paraId="0722B159" w14:textId="77777777" w:rsidR="009A4DE0" w:rsidRPr="004C21B6" w:rsidRDefault="00000000">
            <w:pPr>
              <w:numPr>
                <w:ilvl w:val="0"/>
                <w:numId w:val="6"/>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Allowable Expenditures: Instructional materials, teacher salaries, professional development, community engagement.</w:t>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58FA486C"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Professional Development Requirement</w:t>
            </w:r>
          </w:p>
          <w:p w14:paraId="14B92DB4" w14:textId="77777777" w:rsidR="009A4DE0" w:rsidRPr="004C21B6" w:rsidRDefault="00000000">
            <w:pPr>
              <w:numPr>
                <w:ilvl w:val="0"/>
                <w:numId w:val="5"/>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When filing for a Bilingual Education Exception or ESL Waiver, 10% of BEA funds must be allocated to professional development.</w:t>
            </w:r>
          </w:p>
          <w:p w14:paraId="1F1B1D65" w14:textId="77777777" w:rsidR="009A4DE0" w:rsidRPr="004C21B6" w:rsidRDefault="009A4DE0">
            <w:pPr>
              <w:spacing w:after="0" w:line="240" w:lineRule="auto"/>
              <w:rPr>
                <w:rFonts w:ascii="Century Gothic" w:eastAsia="Century Gothic" w:hAnsi="Century Gothic" w:cs="Century Gothic"/>
                <w:color w:val="000000" w:themeColor="text1"/>
                <w:sz w:val="20"/>
                <w:szCs w:val="20"/>
              </w:rPr>
            </w:pPr>
          </w:p>
          <w:p w14:paraId="6E437EB6"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b/>
            </w:r>
          </w:p>
        </w:tc>
      </w:tr>
      <w:tr w:rsidR="009A4DE0" w14:paraId="2B9B01AC" w14:textId="77777777" w:rsidTr="005F59F9">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57DE28AE"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Local, State, and Federal Funds</w:t>
            </w:r>
            <w:r w:rsidRPr="004C21B6">
              <w:rPr>
                <w:rFonts w:ascii="Century Gothic" w:eastAsia="Century Gothic" w:hAnsi="Century Gothic" w:cs="Century Gothic"/>
                <w:color w:val="000000" w:themeColor="text1"/>
                <w:sz w:val="20"/>
                <w:szCs w:val="20"/>
              </w:rPr>
              <w:tab/>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00CB74AE"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 xml:space="preserve">Local/State Funds: </w:t>
            </w:r>
          </w:p>
          <w:p w14:paraId="1847E60B" w14:textId="77777777" w:rsidR="009A4DE0" w:rsidRPr="004C21B6" w:rsidRDefault="00000000">
            <w:pPr>
              <w:numPr>
                <w:ilvl w:val="0"/>
                <w:numId w:val="7"/>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Core program costs, such as salaries and instructional materials.</w:t>
            </w:r>
          </w:p>
          <w:p w14:paraId="1950FBA2"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 xml:space="preserve">Title III Funds: </w:t>
            </w:r>
          </w:p>
          <w:p w14:paraId="52D22757" w14:textId="77777777" w:rsidR="009A4DE0" w:rsidRPr="004C21B6" w:rsidRDefault="00000000">
            <w:pPr>
              <w:numPr>
                <w:ilvl w:val="0"/>
                <w:numId w:val="1"/>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Used to supplement local/state funds, covering costs like salary supplements, additional materials, and professional development.</w:t>
            </w:r>
          </w:p>
        </w:tc>
        <w:tc>
          <w:tcPr>
            <w:tcW w:w="5730" w:type="dxa"/>
            <w:tcBorders>
              <w:top w:val="single" w:sz="4" w:space="0" w:color="666666"/>
              <w:left w:val="single" w:sz="4" w:space="0" w:color="666666"/>
              <w:bottom w:val="single" w:sz="4" w:space="0" w:color="666666"/>
              <w:right w:val="single" w:sz="4" w:space="0" w:color="666666"/>
            </w:tcBorders>
            <w:tcMar>
              <w:top w:w="-83" w:type="dxa"/>
              <w:left w:w="58" w:type="dxa"/>
              <w:bottom w:w="-83" w:type="dxa"/>
              <w:right w:w="58" w:type="dxa"/>
            </w:tcMar>
          </w:tcPr>
          <w:p w14:paraId="633C209D"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Examples of Title III Fund Usage:</w:t>
            </w:r>
          </w:p>
          <w:p w14:paraId="14BC0DB1" w14:textId="77777777" w:rsidR="009A4DE0" w:rsidRPr="004C21B6" w:rsidRDefault="00000000">
            <w:pPr>
              <w:numPr>
                <w:ilvl w:val="0"/>
                <w:numId w:val="3"/>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Supplemental teacher salaries.</w:t>
            </w:r>
          </w:p>
          <w:p w14:paraId="0D65ECEF" w14:textId="77777777" w:rsidR="009A4DE0" w:rsidRPr="004C21B6" w:rsidRDefault="00000000">
            <w:pPr>
              <w:numPr>
                <w:ilvl w:val="0"/>
                <w:numId w:val="3"/>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Instructional technology for EB students.</w:t>
            </w:r>
          </w:p>
          <w:p w14:paraId="1A3F580E" w14:textId="77777777" w:rsidR="009A4DE0" w:rsidRPr="004C21B6" w:rsidRDefault="00000000">
            <w:pPr>
              <w:numPr>
                <w:ilvl w:val="0"/>
                <w:numId w:val="3"/>
              </w:num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Costs for reducing class sizes to provide more individualized attention to EB students.</w:t>
            </w:r>
          </w:p>
          <w:p w14:paraId="0B21D2A7" w14:textId="77777777" w:rsidR="009A4DE0" w:rsidRPr="004C21B6" w:rsidRDefault="00000000">
            <w:pPr>
              <w:spacing w:after="0" w:line="240" w:lineRule="auto"/>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b/>
            </w:r>
          </w:p>
        </w:tc>
      </w:tr>
    </w:tbl>
    <w:p w14:paraId="38EA1B19" w14:textId="77777777" w:rsidR="005F59F9" w:rsidRDefault="005F59F9" w:rsidP="005F59F9">
      <w:pPr>
        <w:spacing w:before="120"/>
        <w:rPr>
          <w:sz w:val="20"/>
          <w:szCs w:val="20"/>
        </w:rPr>
      </w:pPr>
    </w:p>
    <w:p w14:paraId="749BF561" w14:textId="5CE0D8CD" w:rsidR="009A4DE0" w:rsidRPr="005F59F9" w:rsidRDefault="005F59F9" w:rsidP="005F59F9">
      <w:pPr>
        <w:spacing w:before="120"/>
        <w:rPr>
          <w:color w:val="999999"/>
          <w:sz w:val="20"/>
          <w:szCs w:val="20"/>
        </w:rPr>
      </w:pPr>
      <w:r w:rsidRPr="005F59F9">
        <w:rPr>
          <w:sz w:val="20"/>
          <w:szCs w:val="20"/>
        </w:rPr>
        <w:t xml:space="preserve">source: </w:t>
      </w:r>
      <w:hyperlink r:id="rId7" w:history="1">
        <w:r w:rsidRPr="005F59F9">
          <w:rPr>
            <w:rStyle w:val="Hyperlink"/>
            <w:sz w:val="20"/>
            <w:szCs w:val="20"/>
          </w:rPr>
          <w:t>https://www.txel.org/media/rrrbmumy/fact-sheet-4-funding.pdf</w:t>
        </w:r>
      </w:hyperlink>
    </w:p>
    <w:tbl>
      <w:tblPr>
        <w:tblStyle w:val="a0"/>
        <w:tblW w:w="14400" w:type="dxa"/>
        <w:tblInd w:w="-2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400" w:firstRow="0" w:lastRow="0" w:firstColumn="0" w:lastColumn="0" w:noHBand="0" w:noVBand="1"/>
      </w:tblPr>
      <w:tblGrid>
        <w:gridCol w:w="2880"/>
        <w:gridCol w:w="2880"/>
        <w:gridCol w:w="2880"/>
        <w:gridCol w:w="2880"/>
        <w:gridCol w:w="2880"/>
      </w:tblGrid>
      <w:tr w:rsidR="009A4DE0" w14:paraId="6A46F70D" w14:textId="77777777">
        <w:trPr>
          <w:trHeight w:val="234"/>
          <w:tblHeader/>
        </w:trPr>
        <w:tc>
          <w:tcPr>
            <w:tcW w:w="2880" w:type="dxa"/>
            <w:tcBorders>
              <w:top w:val="single" w:sz="4" w:space="0" w:color="666666"/>
              <w:left w:val="single" w:sz="4" w:space="0" w:color="666666"/>
              <w:bottom w:val="single" w:sz="4" w:space="0" w:color="666666"/>
              <w:right w:val="single" w:sz="4" w:space="0" w:color="666666"/>
            </w:tcBorders>
            <w:shd w:val="clear" w:color="auto" w:fill="660066"/>
            <w:tcMar>
              <w:top w:w="72" w:type="dxa"/>
              <w:left w:w="144" w:type="dxa"/>
              <w:bottom w:w="72" w:type="dxa"/>
              <w:right w:w="144" w:type="dxa"/>
            </w:tcMar>
            <w:vAlign w:val="center"/>
          </w:tcPr>
          <w:p w14:paraId="4CF1D0BA"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lastRenderedPageBreak/>
              <w:t>Resource</w:t>
            </w:r>
          </w:p>
        </w:tc>
        <w:tc>
          <w:tcPr>
            <w:tcW w:w="2880" w:type="dxa"/>
            <w:tcBorders>
              <w:top w:val="single" w:sz="4" w:space="0" w:color="666666"/>
              <w:left w:val="single" w:sz="4" w:space="0" w:color="666666"/>
              <w:bottom w:val="single" w:sz="4" w:space="0" w:color="666666"/>
              <w:right w:val="single" w:sz="4" w:space="0" w:color="666666"/>
            </w:tcBorders>
            <w:shd w:val="clear" w:color="auto" w:fill="660066"/>
            <w:tcMar>
              <w:top w:w="72" w:type="dxa"/>
              <w:left w:w="144" w:type="dxa"/>
              <w:bottom w:w="72" w:type="dxa"/>
              <w:right w:w="144" w:type="dxa"/>
            </w:tcMar>
            <w:vAlign w:val="center"/>
          </w:tcPr>
          <w:p w14:paraId="73E15758"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Allocation Method</w:t>
            </w:r>
          </w:p>
        </w:tc>
        <w:tc>
          <w:tcPr>
            <w:tcW w:w="2880" w:type="dxa"/>
            <w:tcBorders>
              <w:top w:val="single" w:sz="4" w:space="0" w:color="666666"/>
              <w:left w:val="single" w:sz="4" w:space="0" w:color="666666"/>
              <w:bottom w:val="single" w:sz="4" w:space="0" w:color="666666"/>
              <w:right w:val="single" w:sz="4" w:space="0" w:color="666666"/>
            </w:tcBorders>
            <w:shd w:val="clear" w:color="auto" w:fill="660066"/>
            <w:tcMar>
              <w:top w:w="72" w:type="dxa"/>
              <w:left w:w="144" w:type="dxa"/>
              <w:bottom w:w="72" w:type="dxa"/>
              <w:right w:w="144" w:type="dxa"/>
            </w:tcMar>
            <w:vAlign w:val="center"/>
          </w:tcPr>
          <w:p w14:paraId="26E0BAC3" w14:textId="77777777" w:rsidR="009A4DE0" w:rsidRDefault="00000000">
            <w:pPr>
              <w:widowControl w:val="0"/>
              <w:spacing w:after="0" w:line="276"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Usable For</w:t>
            </w:r>
          </w:p>
        </w:tc>
        <w:tc>
          <w:tcPr>
            <w:tcW w:w="2880" w:type="dxa"/>
            <w:tcBorders>
              <w:top w:val="single" w:sz="4" w:space="0" w:color="666666"/>
              <w:left w:val="single" w:sz="4" w:space="0" w:color="666666"/>
              <w:bottom w:val="single" w:sz="4" w:space="0" w:color="666666"/>
              <w:right w:val="single" w:sz="4" w:space="0" w:color="666666"/>
            </w:tcBorders>
            <w:shd w:val="clear" w:color="auto" w:fill="660066"/>
            <w:vAlign w:val="center"/>
          </w:tcPr>
          <w:p w14:paraId="1669A4FB"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Can It Be Used for EBs?</w:t>
            </w:r>
          </w:p>
        </w:tc>
        <w:tc>
          <w:tcPr>
            <w:tcW w:w="2880" w:type="dxa"/>
            <w:tcBorders>
              <w:top w:val="single" w:sz="4" w:space="0" w:color="666666"/>
              <w:left w:val="single" w:sz="4" w:space="0" w:color="666666"/>
              <w:bottom w:val="single" w:sz="4" w:space="0" w:color="666666"/>
              <w:right w:val="single" w:sz="4" w:space="0" w:color="666666"/>
            </w:tcBorders>
            <w:shd w:val="clear" w:color="auto" w:fill="660066"/>
            <w:vAlign w:val="center"/>
          </w:tcPr>
          <w:p w14:paraId="6DEAF85D" w14:textId="77777777" w:rsidR="009A4DE0" w:rsidRDefault="00000000">
            <w:pPr>
              <w:spacing w:after="0" w:line="240" w:lineRule="auto"/>
              <w:jc w:val="center"/>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Restrictions</w:t>
            </w:r>
          </w:p>
        </w:tc>
      </w:tr>
      <w:tr w:rsidR="009A4DE0" w14:paraId="25C5FFF4" w14:textId="77777777">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3F80A3E3" w14:textId="77777777" w:rsidR="009A4DE0" w:rsidRPr="004C21B6" w:rsidRDefault="00000000">
            <w:pPr>
              <w:spacing w:after="0" w:line="240" w:lineRule="auto"/>
              <w:jc w:val="center"/>
              <w:rPr>
                <w:rFonts w:ascii="Century Gothic" w:eastAsia="Century Gothic" w:hAnsi="Century Gothic" w:cs="Century Gothic"/>
                <w:b/>
                <w:color w:val="000000" w:themeColor="text1"/>
                <w:sz w:val="20"/>
                <w:szCs w:val="20"/>
              </w:rPr>
            </w:pPr>
            <w:r w:rsidRPr="004C21B6">
              <w:rPr>
                <w:rFonts w:ascii="Century Gothic" w:eastAsia="Century Gothic" w:hAnsi="Century Gothic" w:cs="Century Gothic"/>
                <w:b/>
                <w:color w:val="000000" w:themeColor="text1"/>
                <w:sz w:val="20"/>
                <w:szCs w:val="20"/>
              </w:rPr>
              <w:t>Local Campus Funds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451C0019"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bookmarkStart w:id="0" w:name="_gjdgxs" w:colFirst="0" w:colLast="0"/>
            <w:bookmarkEnd w:id="0"/>
            <w:r w:rsidRPr="004C21B6">
              <w:rPr>
                <w:rFonts w:ascii="Century Gothic" w:eastAsia="Century Gothic" w:hAnsi="Century Gothic" w:cs="Century Gothic"/>
                <w:color w:val="000000" w:themeColor="text1"/>
                <w:sz w:val="20"/>
                <w:szCs w:val="20"/>
              </w:rPr>
              <w:t>Set by district, flexible amount</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5E3CA79B"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PD, resources, supplies, etc. for all students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57F6CE0F" w14:textId="77777777" w:rsidR="009A4DE0" w:rsidRPr="004C21B6" w:rsidRDefault="00000000">
            <w:pPr>
              <w:shd w:val="clear" w:color="auto" w:fill="FFFFFF"/>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Yes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324BECBE" w14:textId="77777777" w:rsidR="009A4DE0" w:rsidRPr="004C21B6" w:rsidRDefault="00000000">
            <w:pPr>
              <w:shd w:val="clear" w:color="auto" w:fill="FFFFFF"/>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 xml:space="preserve">None, </w:t>
            </w:r>
            <w:proofErr w:type="gramStart"/>
            <w:r w:rsidRPr="004C21B6">
              <w:rPr>
                <w:rFonts w:ascii="Century Gothic" w:eastAsia="Century Gothic" w:hAnsi="Century Gothic" w:cs="Century Gothic"/>
                <w:color w:val="000000" w:themeColor="text1"/>
                <w:sz w:val="20"/>
                <w:szCs w:val="20"/>
              </w:rPr>
              <w:t>as long as</w:t>
            </w:r>
            <w:proofErr w:type="gramEnd"/>
            <w:r w:rsidRPr="004C21B6">
              <w:rPr>
                <w:rFonts w:ascii="Century Gothic" w:eastAsia="Century Gothic" w:hAnsi="Century Gothic" w:cs="Century Gothic"/>
                <w:color w:val="000000" w:themeColor="text1"/>
                <w:sz w:val="20"/>
                <w:szCs w:val="20"/>
              </w:rPr>
              <w:t xml:space="preserve"> </w:t>
            </w:r>
            <w:proofErr w:type="gramStart"/>
            <w:r w:rsidRPr="004C21B6">
              <w:rPr>
                <w:rFonts w:ascii="Century Gothic" w:eastAsia="Century Gothic" w:hAnsi="Century Gothic" w:cs="Century Gothic"/>
                <w:color w:val="000000" w:themeColor="text1"/>
                <w:sz w:val="20"/>
                <w:szCs w:val="20"/>
              </w:rPr>
              <w:t>principal</w:t>
            </w:r>
            <w:proofErr w:type="gramEnd"/>
            <w:r w:rsidRPr="004C21B6">
              <w:rPr>
                <w:rFonts w:ascii="Century Gothic" w:eastAsia="Century Gothic" w:hAnsi="Century Gothic" w:cs="Century Gothic"/>
                <w:color w:val="000000" w:themeColor="text1"/>
                <w:sz w:val="20"/>
                <w:szCs w:val="20"/>
              </w:rPr>
              <w:t xml:space="preserve"> follows district guidelines</w:t>
            </w:r>
          </w:p>
        </w:tc>
      </w:tr>
      <w:tr w:rsidR="009A4DE0" w14:paraId="6FEDAD17" w14:textId="77777777">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37F8FFB2" w14:textId="77777777" w:rsidR="009A4DE0" w:rsidRPr="004C21B6" w:rsidRDefault="00000000">
            <w:pPr>
              <w:spacing w:after="0" w:line="240" w:lineRule="auto"/>
              <w:jc w:val="center"/>
              <w:rPr>
                <w:rFonts w:ascii="Century Gothic" w:eastAsia="Century Gothic" w:hAnsi="Century Gothic" w:cs="Century Gothic"/>
                <w:b/>
                <w:color w:val="000000" w:themeColor="text1"/>
                <w:sz w:val="20"/>
                <w:szCs w:val="20"/>
              </w:rPr>
            </w:pPr>
            <w:r w:rsidRPr="004C21B6">
              <w:rPr>
                <w:rFonts w:ascii="Century Gothic" w:eastAsia="Century Gothic" w:hAnsi="Century Gothic" w:cs="Century Gothic"/>
                <w:b/>
                <w:color w:val="000000" w:themeColor="text1"/>
                <w:sz w:val="20"/>
                <w:szCs w:val="20"/>
              </w:rPr>
              <w:t>District Funds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66761126"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Allocated per district, either in lump sums or specified items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5A7CD591"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Various educational needs, based on district decisions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0219F1B3" w14:textId="77777777" w:rsidR="009A4DE0" w:rsidRPr="004C21B6" w:rsidRDefault="00000000">
            <w:pPr>
              <w:shd w:val="clear" w:color="auto" w:fill="FFFFFF"/>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Yes, if allocated for EB by district/CIP</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385A0139" w14:textId="77777777" w:rsidR="009A4DE0" w:rsidRPr="004C21B6" w:rsidRDefault="00000000">
            <w:pPr>
              <w:shd w:val="clear" w:color="auto" w:fill="FFFFFF"/>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Subject to district policy, some districts specify amounts for EB</w:t>
            </w:r>
          </w:p>
        </w:tc>
      </w:tr>
      <w:tr w:rsidR="009A4DE0" w14:paraId="768A0106" w14:textId="77777777">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0C1643D8" w14:textId="77777777" w:rsidR="009A4DE0" w:rsidRPr="004C21B6" w:rsidRDefault="00000000">
            <w:pPr>
              <w:spacing w:after="0" w:line="240" w:lineRule="auto"/>
              <w:jc w:val="center"/>
              <w:rPr>
                <w:rFonts w:ascii="Century Gothic" w:eastAsia="Century Gothic" w:hAnsi="Century Gothic" w:cs="Century Gothic"/>
                <w:b/>
                <w:color w:val="000000" w:themeColor="text1"/>
                <w:sz w:val="20"/>
                <w:szCs w:val="20"/>
              </w:rPr>
            </w:pPr>
            <w:proofErr w:type="gramStart"/>
            <w:r w:rsidRPr="004C21B6">
              <w:rPr>
                <w:rFonts w:ascii="Century Gothic" w:eastAsia="Century Gothic" w:hAnsi="Century Gothic" w:cs="Century Gothic"/>
                <w:b/>
                <w:color w:val="000000" w:themeColor="text1"/>
                <w:sz w:val="20"/>
                <w:szCs w:val="20"/>
              </w:rPr>
              <w:t>Title</w:t>
            </w:r>
            <w:proofErr w:type="gramEnd"/>
            <w:r w:rsidRPr="004C21B6">
              <w:rPr>
                <w:rFonts w:ascii="Century Gothic" w:eastAsia="Century Gothic" w:hAnsi="Century Gothic" w:cs="Century Gothic"/>
                <w:b/>
                <w:color w:val="000000" w:themeColor="text1"/>
                <w:sz w:val="20"/>
                <w:szCs w:val="20"/>
              </w:rPr>
              <w:t xml:space="preserve"> I Funds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4D356BF1"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Based on student need (e.g., economically disadvantaged)</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157AD86A"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Serving all disadvantaged students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24CD2883" w14:textId="77777777" w:rsidR="009A4DE0" w:rsidRPr="004C21B6" w:rsidRDefault="00000000">
            <w:pPr>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Yes, for EB if objectives align</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6D97E06F" w14:textId="77777777" w:rsidR="009A4DE0" w:rsidRPr="004C21B6" w:rsidRDefault="00000000">
            <w:pPr>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Can only be used for eligible activities under Title I</w:t>
            </w:r>
          </w:p>
        </w:tc>
      </w:tr>
      <w:tr w:rsidR="009A4DE0" w14:paraId="76E60E9D" w14:textId="77777777">
        <w:trPr>
          <w:trHeight w:val="1800"/>
        </w:trPr>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27564961" w14:textId="77777777" w:rsidR="009A4DE0" w:rsidRPr="004C21B6" w:rsidRDefault="00000000">
            <w:pPr>
              <w:spacing w:after="0" w:line="240" w:lineRule="auto"/>
              <w:jc w:val="center"/>
              <w:rPr>
                <w:rFonts w:ascii="Century Gothic" w:eastAsia="Century Gothic" w:hAnsi="Century Gothic" w:cs="Century Gothic"/>
                <w:b/>
                <w:color w:val="000000" w:themeColor="text1"/>
                <w:sz w:val="20"/>
                <w:szCs w:val="20"/>
              </w:rPr>
            </w:pPr>
            <w:r w:rsidRPr="004C21B6">
              <w:rPr>
                <w:rFonts w:ascii="Century Gothic" w:eastAsia="Century Gothic" w:hAnsi="Century Gothic" w:cs="Century Gothic"/>
                <w:b/>
                <w:color w:val="000000" w:themeColor="text1"/>
                <w:sz w:val="20"/>
                <w:szCs w:val="20"/>
              </w:rPr>
              <w:t>Title III Funds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3449CE01"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Allocated specifically for EB services</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0E70C5F2" w14:textId="77777777" w:rsidR="009A4DE0" w:rsidRPr="004C21B6" w:rsidRDefault="00000000">
            <w:pPr>
              <w:spacing w:after="0" w:line="240" w:lineRule="auto"/>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EB instructional support, PD, family engagement</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176696A1" w14:textId="77777777" w:rsidR="009A4DE0" w:rsidRPr="004C21B6" w:rsidRDefault="00000000">
            <w:pPr>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Exclusively for EB</w:t>
            </w:r>
          </w:p>
        </w:tc>
        <w:tc>
          <w:tcPr>
            <w:tcW w:w="2880" w:type="dxa"/>
            <w:tcBorders>
              <w:top w:val="single" w:sz="4" w:space="0" w:color="666666"/>
              <w:left w:val="single" w:sz="4" w:space="0" w:color="666666"/>
              <w:bottom w:val="single" w:sz="4" w:space="0" w:color="666666"/>
              <w:right w:val="single" w:sz="4" w:space="0" w:color="666666"/>
            </w:tcBorders>
            <w:tcMar>
              <w:top w:w="60" w:type="dxa"/>
              <w:left w:w="60" w:type="dxa"/>
              <w:bottom w:w="60" w:type="dxa"/>
              <w:right w:w="60" w:type="dxa"/>
            </w:tcMar>
            <w:vAlign w:val="center"/>
          </w:tcPr>
          <w:p w14:paraId="55AD5D6D" w14:textId="77777777" w:rsidR="009A4DE0" w:rsidRPr="004C21B6" w:rsidRDefault="00000000">
            <w:pPr>
              <w:spacing w:after="0"/>
              <w:jc w:val="center"/>
              <w:rPr>
                <w:rFonts w:ascii="Century Gothic" w:eastAsia="Century Gothic" w:hAnsi="Century Gothic" w:cs="Century Gothic"/>
                <w:color w:val="000000" w:themeColor="text1"/>
                <w:sz w:val="20"/>
                <w:szCs w:val="20"/>
              </w:rPr>
            </w:pPr>
            <w:r w:rsidRPr="004C21B6">
              <w:rPr>
                <w:rFonts w:ascii="Century Gothic" w:eastAsia="Century Gothic" w:hAnsi="Century Gothic" w:cs="Century Gothic"/>
                <w:color w:val="000000" w:themeColor="text1"/>
                <w:sz w:val="20"/>
                <w:szCs w:val="20"/>
              </w:rPr>
              <w:t>Restricted to EB program enhancement and services</w:t>
            </w:r>
          </w:p>
        </w:tc>
      </w:tr>
    </w:tbl>
    <w:p w14:paraId="72CB8C13" w14:textId="77777777" w:rsidR="009A4DE0" w:rsidRDefault="009A4DE0">
      <w:pPr>
        <w:rPr>
          <w:sz w:val="16"/>
          <w:szCs w:val="16"/>
        </w:rPr>
      </w:pPr>
    </w:p>
    <w:p w14:paraId="05C9BC9A" w14:textId="77777777" w:rsidR="009A4DE0" w:rsidRDefault="009A4DE0">
      <w:pPr>
        <w:rPr>
          <w:b/>
          <w:color w:val="ED7D31"/>
          <w:sz w:val="24"/>
          <w:szCs w:val="24"/>
        </w:rPr>
      </w:pPr>
    </w:p>
    <w:p w14:paraId="275511A0" w14:textId="77777777" w:rsidR="009A4DE0" w:rsidRDefault="009A4DE0">
      <w:pPr>
        <w:rPr>
          <w:color w:val="999999"/>
          <w:sz w:val="18"/>
          <w:szCs w:val="18"/>
        </w:rPr>
      </w:pPr>
    </w:p>
    <w:sectPr w:rsidR="009A4DE0" w:rsidSect="005F59F9">
      <w:headerReference w:type="default" r:id="rId8"/>
      <w:footerReference w:type="default" r:id="rId9"/>
      <w:pgSz w:w="15840" w:h="12240" w:orient="landscape"/>
      <w:pgMar w:top="1008" w:right="720" w:bottom="720" w:left="720" w:header="576"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6B0F" w14:textId="77777777" w:rsidR="003C26EB" w:rsidRDefault="003C26EB">
      <w:pPr>
        <w:spacing w:after="0" w:line="240" w:lineRule="auto"/>
      </w:pPr>
      <w:r>
        <w:separator/>
      </w:r>
    </w:p>
  </w:endnote>
  <w:endnote w:type="continuationSeparator" w:id="0">
    <w:p w14:paraId="586B8756" w14:textId="77777777" w:rsidR="003C26EB" w:rsidRDefault="003C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74AB" w14:textId="77777777" w:rsidR="009A4DE0" w:rsidRDefault="009A4DE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BE1A" w14:textId="77777777" w:rsidR="003C26EB" w:rsidRDefault="003C26EB">
      <w:pPr>
        <w:spacing w:after="0" w:line="240" w:lineRule="auto"/>
      </w:pPr>
      <w:r>
        <w:separator/>
      </w:r>
    </w:p>
  </w:footnote>
  <w:footnote w:type="continuationSeparator" w:id="0">
    <w:p w14:paraId="6B5ADDFF" w14:textId="77777777" w:rsidR="003C26EB" w:rsidRDefault="003C2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6E23" w14:textId="08C2A4DA" w:rsidR="009A4DE0" w:rsidRPr="005F59F9" w:rsidRDefault="005F59F9" w:rsidP="005F59F9">
    <w:pPr>
      <w:pBdr>
        <w:top w:val="nil"/>
        <w:left w:val="nil"/>
        <w:bottom w:val="nil"/>
        <w:right w:val="nil"/>
        <w:between w:val="nil"/>
      </w:pBdr>
      <w:tabs>
        <w:tab w:val="center" w:pos="4680"/>
        <w:tab w:val="right" w:pos="9360"/>
        <w:tab w:val="left" w:pos="6135"/>
      </w:tabs>
      <w:spacing w:before="120" w:after="0" w:line="240" w:lineRule="auto"/>
      <w:rPr>
        <w:rFonts w:ascii="Century Gothic" w:eastAsia="Century Gothic" w:hAnsi="Century Gothic" w:cs="Century Gothic"/>
        <w:color w:val="035EA0"/>
        <w:sz w:val="28"/>
        <w:szCs w:val="28"/>
      </w:rPr>
    </w:pPr>
    <w:r>
      <w:rPr>
        <w:rFonts w:ascii="Century Gothic" w:eastAsia="Century Gothic" w:hAnsi="Century Gothic" w:cs="Century Gothic"/>
        <w:noProof/>
        <w:color w:val="035EA0"/>
        <w:sz w:val="28"/>
        <w:szCs w:val="28"/>
      </w:rPr>
      <w:drawing>
        <wp:anchor distT="0" distB="0" distL="114300" distR="114300" simplePos="0" relativeHeight="251658240" behindDoc="0" locked="0" layoutInCell="1" allowOverlap="1" wp14:anchorId="72C952AE" wp14:editId="15716FD9">
          <wp:simplePos x="0" y="0"/>
          <wp:positionH relativeFrom="column">
            <wp:posOffset>8134350</wp:posOffset>
          </wp:positionH>
          <wp:positionV relativeFrom="paragraph">
            <wp:posOffset>26670</wp:posOffset>
          </wp:positionV>
          <wp:extent cx="1020268" cy="228600"/>
          <wp:effectExtent l="0" t="0" r="8890" b="0"/>
          <wp:wrapNone/>
          <wp:docPr id="202689790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97906"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0268" cy="228600"/>
                  </a:xfrm>
                  <a:prstGeom prst="rect">
                    <a:avLst/>
                  </a:prstGeom>
                </pic:spPr>
              </pic:pic>
            </a:graphicData>
          </a:graphic>
          <wp14:sizeRelH relativeFrom="margin">
            <wp14:pctWidth>0</wp14:pctWidth>
          </wp14:sizeRelH>
          <wp14:sizeRelV relativeFrom="margin">
            <wp14:pctHeight>0</wp14:pctHeight>
          </wp14:sizeRelV>
        </wp:anchor>
      </w:drawing>
    </w:r>
    <w:r w:rsidR="004C21B6">
      <w:rPr>
        <w:rFonts w:ascii="Century Gothic" w:eastAsia="Century Gothic" w:hAnsi="Century Gothic" w:cs="Century Gothic"/>
        <w:color w:val="035EA0"/>
        <w:sz w:val="28"/>
        <w:szCs w:val="28"/>
      </w:rPr>
      <w:t>Funding S</w:t>
    </w:r>
    <w:r w:rsidRPr="005F59F9">
      <w:rPr>
        <w:rFonts w:ascii="Century Gothic" w:eastAsia="Century Gothic" w:hAnsi="Century Gothic" w:cs="Century Gothic"/>
        <w:color w:val="035EA0"/>
        <w:sz w:val="28"/>
        <w:szCs w:val="28"/>
      </w:rPr>
      <w:t>ources for EBs</w:t>
    </w:r>
  </w:p>
  <w:p w14:paraId="0259062A" w14:textId="7CF586E0" w:rsidR="009A4DE0" w:rsidRDefault="009A4DE0">
    <w:pPr>
      <w:pBdr>
        <w:top w:val="nil"/>
        <w:left w:val="nil"/>
        <w:bottom w:val="nil"/>
        <w:right w:val="nil"/>
        <w:between w:val="nil"/>
      </w:pBdr>
      <w:tabs>
        <w:tab w:val="center" w:pos="4680"/>
        <w:tab w:val="right" w:pos="9360"/>
        <w:tab w:val="left" w:pos="6135"/>
      </w:tabs>
      <w:spacing w:after="0" w:line="240" w:lineRule="auto"/>
      <w:rPr>
        <w:rFonts w:ascii="Century Gothic" w:eastAsia="Century Gothic" w:hAnsi="Century Gothic" w:cs="Century Gothic"/>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163"/>
    <w:multiLevelType w:val="multilevel"/>
    <w:tmpl w:val="D28E5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83905"/>
    <w:multiLevelType w:val="multilevel"/>
    <w:tmpl w:val="4A7E4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037FB"/>
    <w:multiLevelType w:val="multilevel"/>
    <w:tmpl w:val="BFEC5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9C1EDE"/>
    <w:multiLevelType w:val="multilevel"/>
    <w:tmpl w:val="E1866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D324A0"/>
    <w:multiLevelType w:val="multilevel"/>
    <w:tmpl w:val="7E12E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AE4519"/>
    <w:multiLevelType w:val="multilevel"/>
    <w:tmpl w:val="06BCC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F0304B"/>
    <w:multiLevelType w:val="multilevel"/>
    <w:tmpl w:val="E5604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38636D"/>
    <w:multiLevelType w:val="multilevel"/>
    <w:tmpl w:val="563A5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4F47EE"/>
    <w:multiLevelType w:val="multilevel"/>
    <w:tmpl w:val="83ACD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E929A8"/>
    <w:multiLevelType w:val="multilevel"/>
    <w:tmpl w:val="78D60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4431908">
    <w:abstractNumId w:val="9"/>
  </w:num>
  <w:num w:numId="2" w16cid:durableId="1530489517">
    <w:abstractNumId w:val="5"/>
  </w:num>
  <w:num w:numId="3" w16cid:durableId="638145869">
    <w:abstractNumId w:val="8"/>
  </w:num>
  <w:num w:numId="4" w16cid:durableId="187764484">
    <w:abstractNumId w:val="6"/>
  </w:num>
  <w:num w:numId="5" w16cid:durableId="2068870002">
    <w:abstractNumId w:val="4"/>
  </w:num>
  <w:num w:numId="6" w16cid:durableId="841310648">
    <w:abstractNumId w:val="2"/>
  </w:num>
  <w:num w:numId="7" w16cid:durableId="890263301">
    <w:abstractNumId w:val="0"/>
  </w:num>
  <w:num w:numId="8" w16cid:durableId="1852865287">
    <w:abstractNumId w:val="7"/>
  </w:num>
  <w:num w:numId="9" w16cid:durableId="315644964">
    <w:abstractNumId w:val="3"/>
  </w:num>
  <w:num w:numId="10" w16cid:durableId="176626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E0"/>
    <w:rsid w:val="003C26EB"/>
    <w:rsid w:val="00461206"/>
    <w:rsid w:val="004C21B6"/>
    <w:rsid w:val="005F59F9"/>
    <w:rsid w:val="009A4DE0"/>
    <w:rsid w:val="00AF5ACA"/>
    <w:rsid w:val="00F0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BA2F"/>
  <w15:docId w15:val="{CC09043F-54C7-4BB9-AC0B-ACC0EEB0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5F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F9"/>
  </w:style>
  <w:style w:type="paragraph" w:styleId="Footer">
    <w:name w:val="footer"/>
    <w:basedOn w:val="Normal"/>
    <w:link w:val="FooterChar"/>
    <w:uiPriority w:val="99"/>
    <w:unhideWhenUsed/>
    <w:rsid w:val="005F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F9"/>
  </w:style>
  <w:style w:type="character" w:styleId="Hyperlink">
    <w:name w:val="Hyperlink"/>
    <w:basedOn w:val="DefaultParagraphFont"/>
    <w:uiPriority w:val="99"/>
    <w:unhideWhenUsed/>
    <w:rsid w:val="005F59F9"/>
    <w:rPr>
      <w:color w:val="0000FF" w:themeColor="hyperlink"/>
      <w:u w:val="single"/>
    </w:rPr>
  </w:style>
  <w:style w:type="character" w:styleId="UnresolvedMention">
    <w:name w:val="Unresolved Mention"/>
    <w:basedOn w:val="DefaultParagraphFont"/>
    <w:uiPriority w:val="99"/>
    <w:semiHidden/>
    <w:unhideWhenUsed/>
    <w:rsid w:val="005F5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xel.org/media/rrrbmumy/fact-sheet-4-fund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Lucero</cp:lastModifiedBy>
  <cp:revision>4</cp:revision>
  <dcterms:created xsi:type="dcterms:W3CDTF">2025-02-14T00:18:00Z</dcterms:created>
  <dcterms:modified xsi:type="dcterms:W3CDTF">2025-02-14T00:55:00Z</dcterms:modified>
</cp:coreProperties>
</file>