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885"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CellMar>
          <w:left w:w="108" w:type="dxa"/>
          <w:right w:w="108" w:type="dxa"/>
        </w:tblCellMar>
        <w:tblLook w:val="0400" w:firstRow="0" w:lastRow="0" w:firstColumn="0" w:lastColumn="0" w:noHBand="0" w:noVBand="1"/>
      </w:tblPr>
      <w:tblGrid>
        <w:gridCol w:w="1525"/>
        <w:gridCol w:w="2700"/>
        <w:gridCol w:w="6660"/>
      </w:tblGrid>
      <w:tr w:rsidR="00A26965" w14:paraId="10754763" w14:textId="77777777" w:rsidTr="007A5961">
        <w:trPr>
          <w:trHeight w:val="432"/>
        </w:trPr>
        <w:tc>
          <w:tcPr>
            <w:tcW w:w="4225" w:type="dxa"/>
            <w:gridSpan w:val="2"/>
            <w:tcBorders>
              <w:right w:val="single" w:sz="4" w:space="0" w:color="FFFFFF" w:themeColor="background1"/>
            </w:tcBorders>
            <w:shd w:val="clear" w:color="auto" w:fill="2E75B5"/>
            <w:vAlign w:val="center"/>
          </w:tcPr>
          <w:p w14:paraId="3C5F46B9" w14:textId="6340B476" w:rsidR="00A26965" w:rsidRDefault="00A26965" w:rsidP="00133779">
            <w:pPr>
              <w:jc w:val="center"/>
              <w:rPr>
                <w:b/>
                <w:color w:val="FFFFFF"/>
                <w:sz w:val="18"/>
                <w:szCs w:val="18"/>
              </w:rPr>
            </w:pPr>
            <w:r>
              <w:rPr>
                <w:b/>
                <w:color w:val="FFFFFF"/>
                <w:sz w:val="18"/>
                <w:szCs w:val="18"/>
              </w:rPr>
              <w:t>Proficiency Level Descriptors</w:t>
            </w:r>
          </w:p>
        </w:tc>
        <w:tc>
          <w:tcPr>
            <w:tcW w:w="6660" w:type="dxa"/>
            <w:tcBorders>
              <w:left w:val="single" w:sz="4" w:space="0" w:color="FFFFFF" w:themeColor="background1"/>
            </w:tcBorders>
            <w:shd w:val="clear" w:color="auto" w:fill="538135"/>
            <w:vAlign w:val="center"/>
          </w:tcPr>
          <w:p w14:paraId="766EB727" w14:textId="50893FBE" w:rsidR="00A26965" w:rsidRDefault="00A26965" w:rsidP="00133779">
            <w:pPr>
              <w:jc w:val="center"/>
              <w:rPr>
                <w:b/>
                <w:color w:val="FFFFFF"/>
                <w:sz w:val="18"/>
                <w:szCs w:val="18"/>
              </w:rPr>
            </w:pPr>
            <w:r>
              <w:rPr>
                <w:b/>
                <w:color w:val="FFFFFF"/>
                <w:sz w:val="18"/>
                <w:szCs w:val="18"/>
              </w:rPr>
              <w:t>Specificity</w:t>
            </w:r>
          </w:p>
        </w:tc>
      </w:tr>
      <w:tr w:rsidR="00A26965" w14:paraId="54336884" w14:textId="77777777" w:rsidTr="00C962A7">
        <w:trPr>
          <w:trHeight w:val="1728"/>
        </w:trPr>
        <w:tc>
          <w:tcPr>
            <w:tcW w:w="1525" w:type="dxa"/>
            <w:tcBorders>
              <w:bottom w:val="single" w:sz="4" w:space="0" w:color="FFFFFF" w:themeColor="background1"/>
              <w:right w:val="nil"/>
            </w:tcBorders>
            <w:shd w:val="clear" w:color="auto" w:fill="DEEBF6"/>
            <w:vAlign w:val="center"/>
          </w:tcPr>
          <w:p w14:paraId="537CEE4B" w14:textId="442B6629" w:rsidR="00A26965" w:rsidRPr="00A26965" w:rsidRDefault="00A26965" w:rsidP="00133779">
            <w:pPr>
              <w:tabs>
                <w:tab w:val="left" w:pos="144"/>
              </w:tabs>
              <w:rPr>
                <w:rFonts w:asciiTheme="majorHAnsi" w:hAnsiTheme="majorHAnsi" w:cstheme="majorHAnsi"/>
                <w:b/>
                <w:sz w:val="18"/>
                <w:szCs w:val="18"/>
              </w:rPr>
            </w:pPr>
            <w:r w:rsidRPr="00A26965">
              <w:rPr>
                <w:rFonts w:asciiTheme="majorHAnsi" w:hAnsiTheme="majorHAnsi" w:cstheme="majorHAnsi"/>
                <w:b/>
                <w:sz w:val="18"/>
                <w:szCs w:val="18"/>
              </w:rPr>
              <w:t>1</w:t>
            </w:r>
            <w:r w:rsidR="00133779">
              <w:rPr>
                <w:rFonts w:asciiTheme="majorHAnsi" w:hAnsiTheme="majorHAnsi" w:cstheme="majorHAnsi"/>
                <w:b/>
                <w:sz w:val="18"/>
                <w:szCs w:val="18"/>
              </w:rPr>
              <w:tab/>
            </w:r>
            <w:r w:rsidRPr="00A26965">
              <w:rPr>
                <w:rFonts w:asciiTheme="majorHAnsi" w:hAnsiTheme="majorHAnsi" w:cstheme="majorHAnsi"/>
                <w:b/>
                <w:sz w:val="18"/>
                <w:szCs w:val="18"/>
              </w:rPr>
              <w:t>Beginning</w:t>
            </w:r>
          </w:p>
        </w:tc>
        <w:tc>
          <w:tcPr>
            <w:tcW w:w="2700" w:type="dxa"/>
            <w:tcBorders>
              <w:left w:val="nil"/>
            </w:tcBorders>
          </w:tcPr>
          <w:p w14:paraId="6E387D38" w14:textId="6E65EEBC" w:rsidR="00A26965" w:rsidRPr="005857C1" w:rsidRDefault="00325438" w:rsidP="00A26965">
            <w:pPr>
              <w:widowControl w:val="0"/>
              <w:spacing w:before="40" w:after="40"/>
              <w:rPr>
                <w:rFonts w:asciiTheme="majorHAnsi" w:hAnsiTheme="majorHAnsi" w:cstheme="majorHAnsi"/>
                <w:sz w:val="18"/>
                <w:szCs w:val="18"/>
              </w:rPr>
            </w:pPr>
            <w:r w:rsidRPr="00325438">
              <w:rPr>
                <w:rFonts w:asciiTheme="majorHAnsi" w:eastAsia="Century Gothic" w:hAnsiTheme="majorHAnsi" w:cstheme="majorHAnsi"/>
                <w:sz w:val="18"/>
                <w:szCs w:val="18"/>
              </w:rPr>
              <w:t>Beginning English language learners (ELLs) have little or no ability to use the English language to build foundational reading skills.</w:t>
            </w:r>
          </w:p>
        </w:tc>
        <w:tc>
          <w:tcPr>
            <w:tcW w:w="6660" w:type="dxa"/>
            <w:shd w:val="clear" w:color="auto" w:fill="auto"/>
          </w:tcPr>
          <w:p w14:paraId="7C9B0F22" w14:textId="77777777" w:rsidR="00325438" w:rsidRPr="00325438" w:rsidRDefault="00325438" w:rsidP="00325438">
            <w:pPr>
              <w:pStyle w:val="ListParagraph"/>
              <w:widowControl w:val="0"/>
              <w:numPr>
                <w:ilvl w:val="0"/>
                <w:numId w:val="1"/>
              </w:numPr>
              <w:spacing w:before="40" w:after="40"/>
              <w:rPr>
                <w:rFonts w:asciiTheme="majorHAnsi" w:hAnsiTheme="majorHAnsi" w:cstheme="majorHAnsi"/>
                <w:sz w:val="18"/>
                <w:szCs w:val="18"/>
              </w:rPr>
            </w:pPr>
            <w:r w:rsidRPr="00325438">
              <w:rPr>
                <w:rFonts w:asciiTheme="majorHAnsi" w:hAnsiTheme="majorHAnsi" w:cstheme="majorHAnsi"/>
                <w:sz w:val="18"/>
                <w:szCs w:val="18"/>
              </w:rPr>
              <w:t>derive little or no meaning from grade- appropriate stories read aloud, unless the stories are</w:t>
            </w:r>
          </w:p>
          <w:p w14:paraId="63A07D64" w14:textId="77777777" w:rsidR="00325438" w:rsidRPr="00325438" w:rsidRDefault="00325438" w:rsidP="00325438">
            <w:pPr>
              <w:pStyle w:val="ListParagraph"/>
              <w:widowControl w:val="0"/>
              <w:numPr>
                <w:ilvl w:val="1"/>
                <w:numId w:val="1"/>
              </w:numPr>
              <w:spacing w:before="40" w:after="40"/>
              <w:rPr>
                <w:rFonts w:asciiTheme="majorHAnsi" w:hAnsiTheme="majorHAnsi" w:cstheme="majorHAnsi"/>
                <w:sz w:val="18"/>
                <w:szCs w:val="18"/>
              </w:rPr>
            </w:pPr>
            <w:r w:rsidRPr="00325438">
              <w:rPr>
                <w:rFonts w:asciiTheme="majorHAnsi" w:hAnsiTheme="majorHAnsi" w:cstheme="majorHAnsi"/>
                <w:sz w:val="18"/>
                <w:szCs w:val="18"/>
              </w:rPr>
              <w:t>read in short “chunks”</w:t>
            </w:r>
          </w:p>
          <w:p w14:paraId="1EF750B4" w14:textId="77777777" w:rsidR="00325438" w:rsidRPr="00325438" w:rsidRDefault="00325438" w:rsidP="00325438">
            <w:pPr>
              <w:pStyle w:val="ListParagraph"/>
              <w:widowControl w:val="0"/>
              <w:numPr>
                <w:ilvl w:val="1"/>
                <w:numId w:val="1"/>
              </w:numPr>
              <w:spacing w:before="40" w:after="40"/>
              <w:rPr>
                <w:rFonts w:asciiTheme="majorHAnsi" w:hAnsiTheme="majorHAnsi" w:cstheme="majorHAnsi"/>
                <w:sz w:val="18"/>
                <w:szCs w:val="18"/>
              </w:rPr>
            </w:pPr>
            <w:r w:rsidRPr="00325438">
              <w:rPr>
                <w:rFonts w:asciiTheme="majorHAnsi" w:hAnsiTheme="majorHAnsi" w:cstheme="majorHAnsi"/>
                <w:sz w:val="18"/>
                <w:szCs w:val="18"/>
              </w:rPr>
              <w:t>controlled to include high-frequency, concrete, and recently practiced terms</w:t>
            </w:r>
          </w:p>
          <w:p w14:paraId="093BAF40" w14:textId="77777777" w:rsidR="00A26965" w:rsidRDefault="00325438" w:rsidP="00325438">
            <w:pPr>
              <w:pStyle w:val="ListParagraph"/>
              <w:widowControl w:val="0"/>
              <w:numPr>
                <w:ilvl w:val="1"/>
                <w:numId w:val="1"/>
              </w:numPr>
              <w:spacing w:before="40" w:after="40"/>
              <w:rPr>
                <w:rFonts w:asciiTheme="majorHAnsi" w:hAnsiTheme="majorHAnsi" w:cstheme="majorHAnsi"/>
                <w:sz w:val="18"/>
                <w:szCs w:val="18"/>
              </w:rPr>
            </w:pPr>
            <w:r w:rsidRPr="00325438">
              <w:rPr>
                <w:rFonts w:asciiTheme="majorHAnsi" w:hAnsiTheme="majorHAnsi" w:cstheme="majorHAnsi"/>
                <w:sz w:val="18"/>
                <w:szCs w:val="18"/>
              </w:rPr>
              <w:t>accompanied by ample visual and linguistic supports</w:t>
            </w:r>
          </w:p>
          <w:p w14:paraId="3846F958" w14:textId="77777777" w:rsidR="00325438" w:rsidRPr="00325438" w:rsidRDefault="00325438" w:rsidP="00325438">
            <w:pPr>
              <w:pStyle w:val="ListParagraph"/>
              <w:widowControl w:val="0"/>
              <w:numPr>
                <w:ilvl w:val="0"/>
                <w:numId w:val="1"/>
              </w:numPr>
              <w:spacing w:before="40" w:after="40"/>
              <w:rPr>
                <w:rFonts w:asciiTheme="majorHAnsi" w:hAnsiTheme="majorHAnsi" w:cstheme="majorHAnsi"/>
                <w:sz w:val="18"/>
                <w:szCs w:val="18"/>
              </w:rPr>
            </w:pPr>
            <w:r>
              <w:rPr>
                <w:sz w:val="16"/>
                <w:szCs w:val="16"/>
              </w:rPr>
              <w:t>recognize and understand environmental print in English</w:t>
            </w:r>
          </w:p>
          <w:p w14:paraId="7E17035D" w14:textId="0FFB570B" w:rsidR="00325438" w:rsidRPr="00325438" w:rsidRDefault="00325438" w:rsidP="00325438">
            <w:pPr>
              <w:pStyle w:val="ListParagraph"/>
              <w:widowControl w:val="0"/>
              <w:numPr>
                <w:ilvl w:val="0"/>
                <w:numId w:val="1"/>
              </w:numPr>
              <w:spacing w:before="40" w:after="40"/>
              <w:rPr>
                <w:rFonts w:asciiTheme="majorHAnsi" w:hAnsiTheme="majorHAnsi" w:cstheme="majorHAnsi"/>
                <w:sz w:val="18"/>
                <w:szCs w:val="18"/>
              </w:rPr>
            </w:pPr>
            <w:r w:rsidRPr="00325438">
              <w:rPr>
                <w:sz w:val="16"/>
                <w:szCs w:val="16"/>
              </w:rPr>
              <w:t>have difficulty decoding most grade appropriate English text</w:t>
            </w:r>
          </w:p>
          <w:p w14:paraId="53E8F35B" w14:textId="77777777" w:rsidR="00325438" w:rsidRDefault="00325438" w:rsidP="00325438">
            <w:pPr>
              <w:widowControl w:val="0"/>
              <w:numPr>
                <w:ilvl w:val="1"/>
                <w:numId w:val="1"/>
              </w:numPr>
              <w:spacing w:line="276" w:lineRule="auto"/>
              <w:rPr>
                <w:sz w:val="16"/>
                <w:szCs w:val="16"/>
              </w:rPr>
            </w:pPr>
            <w:r>
              <w:rPr>
                <w:sz w:val="16"/>
                <w:szCs w:val="16"/>
              </w:rPr>
              <w:t>understand the meaning of very few words in English</w:t>
            </w:r>
          </w:p>
          <w:p w14:paraId="7ACE86B7" w14:textId="2ACCCB8B" w:rsidR="00325438" w:rsidRPr="005857C1" w:rsidRDefault="00325438" w:rsidP="00325438">
            <w:pPr>
              <w:pStyle w:val="ListParagraph"/>
              <w:widowControl w:val="0"/>
              <w:numPr>
                <w:ilvl w:val="1"/>
                <w:numId w:val="1"/>
              </w:numPr>
              <w:spacing w:before="40" w:after="40"/>
              <w:rPr>
                <w:rFonts w:asciiTheme="majorHAnsi" w:hAnsiTheme="majorHAnsi" w:cstheme="majorHAnsi"/>
                <w:sz w:val="18"/>
                <w:szCs w:val="18"/>
              </w:rPr>
            </w:pPr>
            <w:r>
              <w:rPr>
                <w:sz w:val="16"/>
                <w:szCs w:val="16"/>
              </w:rPr>
              <w:t>struggle significantly with sounds in spoken English words and with sound-symbol relationships</w:t>
            </w:r>
          </w:p>
        </w:tc>
      </w:tr>
      <w:tr w:rsidR="00A26965" w14:paraId="4FAB3DB3" w14:textId="77777777" w:rsidTr="00C962A7">
        <w:trPr>
          <w:trHeight w:val="1728"/>
        </w:trPr>
        <w:tc>
          <w:tcPr>
            <w:tcW w:w="1525" w:type="dxa"/>
            <w:tcBorders>
              <w:top w:val="single" w:sz="4" w:space="0" w:color="FFFFFF" w:themeColor="background1"/>
              <w:bottom w:val="single" w:sz="4" w:space="0" w:color="FFFFFF" w:themeColor="background1"/>
              <w:right w:val="nil"/>
            </w:tcBorders>
            <w:shd w:val="clear" w:color="auto" w:fill="DEEBF6"/>
            <w:vAlign w:val="center"/>
          </w:tcPr>
          <w:p w14:paraId="308518BC" w14:textId="2250DBE4" w:rsidR="00A26965" w:rsidRPr="00A26965" w:rsidRDefault="00A26965" w:rsidP="00133779">
            <w:pPr>
              <w:tabs>
                <w:tab w:val="left" w:pos="144"/>
              </w:tabs>
              <w:rPr>
                <w:b/>
                <w:sz w:val="18"/>
                <w:szCs w:val="18"/>
              </w:rPr>
            </w:pPr>
            <w:r w:rsidRPr="00A26965">
              <w:rPr>
                <w:b/>
                <w:sz w:val="18"/>
                <w:szCs w:val="18"/>
              </w:rPr>
              <w:t xml:space="preserve">2 </w:t>
            </w:r>
            <w:r w:rsidR="00133779">
              <w:rPr>
                <w:b/>
                <w:sz w:val="18"/>
                <w:szCs w:val="18"/>
              </w:rPr>
              <w:tab/>
            </w:r>
            <w:r w:rsidRPr="00A26965">
              <w:rPr>
                <w:b/>
                <w:sz w:val="18"/>
                <w:szCs w:val="18"/>
              </w:rPr>
              <w:t>Intermediate</w:t>
            </w:r>
          </w:p>
        </w:tc>
        <w:tc>
          <w:tcPr>
            <w:tcW w:w="2700" w:type="dxa"/>
            <w:tcBorders>
              <w:left w:val="nil"/>
            </w:tcBorders>
          </w:tcPr>
          <w:p w14:paraId="20372779" w14:textId="2687BBE4" w:rsidR="00A26965" w:rsidRPr="005857C1" w:rsidRDefault="00325438" w:rsidP="00A26965">
            <w:pPr>
              <w:widowControl w:val="0"/>
              <w:spacing w:before="40" w:after="40"/>
              <w:rPr>
                <w:color w:val="191818"/>
                <w:sz w:val="18"/>
                <w:szCs w:val="18"/>
              </w:rPr>
            </w:pPr>
            <w:r w:rsidRPr="00325438">
              <w:rPr>
                <w:color w:val="191818"/>
                <w:sz w:val="18"/>
                <w:szCs w:val="18"/>
              </w:rPr>
              <w:t>Intermediate ELLs have a limited ability to use the English language to build foundational reading skills.</w:t>
            </w:r>
          </w:p>
        </w:tc>
        <w:tc>
          <w:tcPr>
            <w:tcW w:w="6660" w:type="dxa"/>
            <w:shd w:val="clear" w:color="auto" w:fill="auto"/>
          </w:tcPr>
          <w:p w14:paraId="2793649C" w14:textId="77777777" w:rsidR="00325438" w:rsidRPr="00325438" w:rsidRDefault="00325438" w:rsidP="00325438">
            <w:pPr>
              <w:pStyle w:val="ListParagraph"/>
              <w:widowControl w:val="0"/>
              <w:numPr>
                <w:ilvl w:val="0"/>
                <w:numId w:val="1"/>
              </w:numPr>
              <w:rPr>
                <w:sz w:val="16"/>
                <w:szCs w:val="16"/>
              </w:rPr>
            </w:pPr>
            <w:r w:rsidRPr="00325438">
              <w:rPr>
                <w:sz w:val="16"/>
                <w:szCs w:val="16"/>
              </w:rPr>
              <w:t>demonstrate limited comprehension of grade- appropriate stories, unless the stories include</w:t>
            </w:r>
          </w:p>
          <w:p w14:paraId="5C878F1C" w14:textId="77777777" w:rsidR="00325438" w:rsidRDefault="00325438" w:rsidP="00325438">
            <w:pPr>
              <w:widowControl w:val="0"/>
              <w:numPr>
                <w:ilvl w:val="1"/>
                <w:numId w:val="1"/>
              </w:numPr>
              <w:spacing w:line="276" w:lineRule="auto"/>
              <w:rPr>
                <w:sz w:val="16"/>
                <w:szCs w:val="16"/>
              </w:rPr>
            </w:pPr>
            <w:r>
              <w:rPr>
                <w:sz w:val="16"/>
                <w:szCs w:val="16"/>
              </w:rPr>
              <w:t>predictable story lines</w:t>
            </w:r>
          </w:p>
          <w:p w14:paraId="578A083A" w14:textId="77777777" w:rsidR="00325438" w:rsidRDefault="00325438" w:rsidP="00325438">
            <w:pPr>
              <w:widowControl w:val="0"/>
              <w:numPr>
                <w:ilvl w:val="1"/>
                <w:numId w:val="1"/>
              </w:numPr>
              <w:spacing w:line="276" w:lineRule="auto"/>
              <w:rPr>
                <w:sz w:val="16"/>
                <w:szCs w:val="16"/>
              </w:rPr>
            </w:pPr>
            <w:r>
              <w:rPr>
                <w:sz w:val="16"/>
                <w:szCs w:val="16"/>
              </w:rPr>
              <w:t>highly familiar topics</w:t>
            </w:r>
          </w:p>
          <w:p w14:paraId="656A77DA" w14:textId="77777777" w:rsidR="00325438" w:rsidRDefault="00325438" w:rsidP="00325438">
            <w:pPr>
              <w:widowControl w:val="0"/>
              <w:numPr>
                <w:ilvl w:val="1"/>
                <w:numId w:val="1"/>
              </w:numPr>
              <w:spacing w:line="276" w:lineRule="auto"/>
              <w:rPr>
                <w:sz w:val="16"/>
                <w:szCs w:val="16"/>
              </w:rPr>
            </w:pPr>
            <w:r>
              <w:rPr>
                <w:sz w:val="16"/>
                <w:szCs w:val="16"/>
              </w:rPr>
              <w:t>primarily high-frequency, concrete vocabulary</w:t>
            </w:r>
          </w:p>
          <w:p w14:paraId="4084DDC8" w14:textId="77777777" w:rsidR="00325438" w:rsidRDefault="00325438" w:rsidP="00325438">
            <w:pPr>
              <w:widowControl w:val="0"/>
              <w:numPr>
                <w:ilvl w:val="1"/>
                <w:numId w:val="1"/>
              </w:numPr>
              <w:spacing w:line="276" w:lineRule="auto"/>
              <w:rPr>
                <w:sz w:val="16"/>
                <w:szCs w:val="16"/>
              </w:rPr>
            </w:pPr>
            <w:r>
              <w:rPr>
                <w:sz w:val="16"/>
                <w:szCs w:val="16"/>
              </w:rPr>
              <w:t>short, simple sentences</w:t>
            </w:r>
          </w:p>
          <w:p w14:paraId="3BF4A483" w14:textId="77777777" w:rsidR="00A26965" w:rsidRPr="00325438" w:rsidRDefault="00325438" w:rsidP="00325438">
            <w:pPr>
              <w:pStyle w:val="ListParagraph"/>
              <w:widowControl w:val="0"/>
              <w:numPr>
                <w:ilvl w:val="1"/>
                <w:numId w:val="1"/>
              </w:numPr>
              <w:spacing w:before="40" w:after="40"/>
              <w:rPr>
                <w:color w:val="191818"/>
                <w:sz w:val="18"/>
                <w:szCs w:val="18"/>
              </w:rPr>
            </w:pPr>
            <w:r>
              <w:rPr>
                <w:sz w:val="16"/>
                <w:szCs w:val="16"/>
              </w:rPr>
              <w:t>visual and linguistic supports</w:t>
            </w:r>
          </w:p>
          <w:p w14:paraId="7BF4767B" w14:textId="77777777" w:rsidR="00325438" w:rsidRPr="00325438" w:rsidRDefault="00325438" w:rsidP="00325438">
            <w:pPr>
              <w:pStyle w:val="ListParagraph"/>
              <w:widowControl w:val="0"/>
              <w:numPr>
                <w:ilvl w:val="0"/>
                <w:numId w:val="1"/>
              </w:numPr>
              <w:spacing w:before="40" w:after="40"/>
              <w:rPr>
                <w:color w:val="191818"/>
                <w:sz w:val="18"/>
                <w:szCs w:val="18"/>
              </w:rPr>
            </w:pPr>
            <w:r>
              <w:rPr>
                <w:sz w:val="16"/>
                <w:szCs w:val="16"/>
              </w:rPr>
              <w:t>regularly recognize and understand common environmental print</w:t>
            </w:r>
          </w:p>
          <w:p w14:paraId="478B7640" w14:textId="0607FFFE" w:rsidR="00325438" w:rsidRPr="00325438" w:rsidRDefault="00325438" w:rsidP="00325438">
            <w:pPr>
              <w:pStyle w:val="ListParagraph"/>
              <w:widowControl w:val="0"/>
              <w:numPr>
                <w:ilvl w:val="0"/>
                <w:numId w:val="1"/>
              </w:numPr>
              <w:spacing w:before="40" w:after="40"/>
              <w:rPr>
                <w:color w:val="191818"/>
                <w:sz w:val="18"/>
                <w:szCs w:val="18"/>
              </w:rPr>
            </w:pPr>
            <w:r w:rsidRPr="00325438">
              <w:rPr>
                <w:sz w:val="16"/>
                <w:szCs w:val="16"/>
              </w:rPr>
              <w:t>have difficulty decoding grade-appropriate English text</w:t>
            </w:r>
          </w:p>
          <w:p w14:paraId="4C445E39" w14:textId="77777777" w:rsidR="00325438" w:rsidRDefault="00325438" w:rsidP="00325438">
            <w:pPr>
              <w:widowControl w:val="0"/>
              <w:numPr>
                <w:ilvl w:val="1"/>
                <w:numId w:val="1"/>
              </w:numPr>
              <w:spacing w:line="276" w:lineRule="auto"/>
              <w:rPr>
                <w:sz w:val="16"/>
                <w:szCs w:val="16"/>
              </w:rPr>
            </w:pPr>
            <w:r>
              <w:rPr>
                <w:sz w:val="16"/>
                <w:szCs w:val="16"/>
              </w:rPr>
              <w:t>understand the meaning of only those English words they hear frequently</w:t>
            </w:r>
          </w:p>
          <w:p w14:paraId="7D12A75B" w14:textId="75DF9CE7" w:rsidR="00325438" w:rsidRPr="005857C1" w:rsidRDefault="00325438" w:rsidP="00325438">
            <w:pPr>
              <w:pStyle w:val="ListParagraph"/>
              <w:widowControl w:val="0"/>
              <w:numPr>
                <w:ilvl w:val="1"/>
                <w:numId w:val="1"/>
              </w:numPr>
              <w:spacing w:before="40" w:after="40"/>
              <w:rPr>
                <w:color w:val="191818"/>
                <w:sz w:val="18"/>
                <w:szCs w:val="18"/>
              </w:rPr>
            </w:pPr>
            <w:r>
              <w:rPr>
                <w:sz w:val="16"/>
                <w:szCs w:val="16"/>
              </w:rPr>
              <w:t>struggle with some sounds in English words and some sound-symbol relationships</w:t>
            </w:r>
          </w:p>
        </w:tc>
      </w:tr>
      <w:tr w:rsidR="00A26965" w14:paraId="2BCE174C" w14:textId="77777777" w:rsidTr="00C962A7">
        <w:trPr>
          <w:trHeight w:val="1728"/>
        </w:trPr>
        <w:tc>
          <w:tcPr>
            <w:tcW w:w="1525" w:type="dxa"/>
            <w:tcBorders>
              <w:top w:val="single" w:sz="4" w:space="0" w:color="FFFFFF" w:themeColor="background1"/>
              <w:bottom w:val="single" w:sz="4" w:space="0" w:color="FFFFFF" w:themeColor="background1"/>
              <w:right w:val="nil"/>
            </w:tcBorders>
            <w:shd w:val="clear" w:color="auto" w:fill="DEEBF6"/>
            <w:vAlign w:val="center"/>
          </w:tcPr>
          <w:p w14:paraId="02F108A1" w14:textId="13108762" w:rsidR="00A26965" w:rsidRPr="00A26965" w:rsidRDefault="00A26965" w:rsidP="00133779">
            <w:pPr>
              <w:tabs>
                <w:tab w:val="left" w:pos="144"/>
              </w:tabs>
              <w:rPr>
                <w:b/>
                <w:sz w:val="18"/>
                <w:szCs w:val="18"/>
              </w:rPr>
            </w:pPr>
            <w:r w:rsidRPr="00A26965">
              <w:rPr>
                <w:b/>
                <w:sz w:val="18"/>
                <w:szCs w:val="18"/>
              </w:rPr>
              <w:t xml:space="preserve">3 </w:t>
            </w:r>
            <w:r w:rsidR="00133779">
              <w:rPr>
                <w:b/>
                <w:sz w:val="18"/>
                <w:szCs w:val="18"/>
              </w:rPr>
              <w:tab/>
            </w:r>
            <w:r w:rsidRPr="00A26965">
              <w:rPr>
                <w:b/>
                <w:sz w:val="18"/>
                <w:szCs w:val="18"/>
              </w:rPr>
              <w:t>Advanced</w:t>
            </w:r>
          </w:p>
        </w:tc>
        <w:tc>
          <w:tcPr>
            <w:tcW w:w="2700" w:type="dxa"/>
            <w:tcBorders>
              <w:left w:val="nil"/>
            </w:tcBorders>
          </w:tcPr>
          <w:p w14:paraId="73E4BDAF" w14:textId="35076A5B" w:rsidR="00A26965" w:rsidRPr="005857C1" w:rsidRDefault="00325438" w:rsidP="00A26965">
            <w:pPr>
              <w:widowControl w:val="0"/>
              <w:spacing w:before="40" w:after="40"/>
              <w:rPr>
                <w:color w:val="191818"/>
                <w:sz w:val="18"/>
                <w:szCs w:val="18"/>
              </w:rPr>
            </w:pPr>
            <w:r w:rsidRPr="00325438">
              <w:rPr>
                <w:color w:val="191818"/>
                <w:sz w:val="18"/>
                <w:szCs w:val="18"/>
              </w:rPr>
              <w:t xml:space="preserve">Advanced ELLs </w:t>
            </w:r>
            <w:proofErr w:type="gramStart"/>
            <w:r w:rsidRPr="00325438">
              <w:rPr>
                <w:color w:val="191818"/>
                <w:sz w:val="18"/>
                <w:szCs w:val="18"/>
              </w:rPr>
              <w:t>have the ability to</w:t>
            </w:r>
            <w:proofErr w:type="gramEnd"/>
            <w:r w:rsidRPr="00325438">
              <w:rPr>
                <w:color w:val="191818"/>
                <w:sz w:val="18"/>
                <w:szCs w:val="18"/>
              </w:rPr>
              <w:t xml:space="preserve"> use the English language, with second language acquisition support, to build foundational reading skills.</w:t>
            </w:r>
          </w:p>
        </w:tc>
        <w:tc>
          <w:tcPr>
            <w:tcW w:w="6660" w:type="dxa"/>
            <w:shd w:val="clear" w:color="auto" w:fill="auto"/>
          </w:tcPr>
          <w:p w14:paraId="6ABE7365" w14:textId="77777777" w:rsidR="00A26965" w:rsidRPr="00325438" w:rsidRDefault="00325438" w:rsidP="00325438">
            <w:pPr>
              <w:pStyle w:val="ListParagraph"/>
              <w:widowControl w:val="0"/>
              <w:numPr>
                <w:ilvl w:val="0"/>
                <w:numId w:val="1"/>
              </w:numPr>
              <w:spacing w:before="40" w:after="40"/>
              <w:rPr>
                <w:color w:val="191818"/>
                <w:sz w:val="18"/>
                <w:szCs w:val="18"/>
              </w:rPr>
            </w:pPr>
            <w:r>
              <w:rPr>
                <w:sz w:val="16"/>
                <w:szCs w:val="16"/>
              </w:rPr>
              <w:t>demonstrate comprehension of most main points and most supporting ideas in grade-appropriate stories read</w:t>
            </w:r>
          </w:p>
          <w:p w14:paraId="69FB5A4F" w14:textId="77777777" w:rsidR="00325438" w:rsidRPr="00325438" w:rsidRDefault="00325438" w:rsidP="00325438">
            <w:pPr>
              <w:pStyle w:val="ListParagraph"/>
              <w:widowControl w:val="0"/>
              <w:numPr>
                <w:ilvl w:val="0"/>
                <w:numId w:val="1"/>
              </w:numPr>
              <w:spacing w:before="40" w:after="40"/>
              <w:rPr>
                <w:color w:val="191818"/>
                <w:sz w:val="18"/>
                <w:szCs w:val="18"/>
              </w:rPr>
            </w:pPr>
            <w:r>
              <w:rPr>
                <w:sz w:val="16"/>
                <w:szCs w:val="16"/>
              </w:rPr>
              <w:t>recognize some basic English vocabulary and high-frequency words in isolated print</w:t>
            </w:r>
          </w:p>
          <w:p w14:paraId="3CBE6FE4" w14:textId="3622A406" w:rsidR="00325438" w:rsidRPr="00325438" w:rsidRDefault="00325438" w:rsidP="00325438">
            <w:pPr>
              <w:pStyle w:val="ListParagraph"/>
              <w:widowControl w:val="0"/>
              <w:numPr>
                <w:ilvl w:val="0"/>
                <w:numId w:val="1"/>
              </w:numPr>
              <w:spacing w:before="40" w:after="40"/>
              <w:rPr>
                <w:color w:val="191818"/>
                <w:sz w:val="18"/>
                <w:szCs w:val="18"/>
              </w:rPr>
            </w:pPr>
            <w:r w:rsidRPr="00325438">
              <w:rPr>
                <w:sz w:val="16"/>
                <w:szCs w:val="16"/>
              </w:rPr>
              <w:t>decode most grade-appropriate text</w:t>
            </w:r>
          </w:p>
          <w:p w14:paraId="70D760E1" w14:textId="77777777" w:rsidR="00325438" w:rsidRDefault="00325438" w:rsidP="00325438">
            <w:pPr>
              <w:widowControl w:val="0"/>
              <w:numPr>
                <w:ilvl w:val="1"/>
                <w:numId w:val="1"/>
              </w:numPr>
              <w:spacing w:line="276" w:lineRule="auto"/>
              <w:rPr>
                <w:sz w:val="16"/>
                <w:szCs w:val="16"/>
              </w:rPr>
            </w:pPr>
            <w:r>
              <w:rPr>
                <w:sz w:val="16"/>
                <w:szCs w:val="16"/>
              </w:rPr>
              <w:t>understand the meaning of most grade-appropriate words</w:t>
            </w:r>
          </w:p>
          <w:p w14:paraId="294DE16F" w14:textId="11AC9CE4" w:rsidR="00325438" w:rsidRPr="005857C1" w:rsidRDefault="00325438" w:rsidP="00325438">
            <w:pPr>
              <w:pStyle w:val="ListParagraph"/>
              <w:widowControl w:val="0"/>
              <w:numPr>
                <w:ilvl w:val="1"/>
                <w:numId w:val="1"/>
              </w:numPr>
              <w:spacing w:before="40" w:after="40"/>
              <w:rPr>
                <w:color w:val="191818"/>
                <w:sz w:val="18"/>
                <w:szCs w:val="18"/>
              </w:rPr>
            </w:pPr>
            <w:r>
              <w:rPr>
                <w:sz w:val="16"/>
                <w:szCs w:val="16"/>
              </w:rPr>
              <w:t>have little difficulty with sounds and sound-symbol relationships</w:t>
            </w:r>
          </w:p>
        </w:tc>
      </w:tr>
      <w:tr w:rsidR="00A26965" w14:paraId="5CD1829B" w14:textId="77777777" w:rsidTr="00C962A7">
        <w:trPr>
          <w:trHeight w:val="1728"/>
        </w:trPr>
        <w:tc>
          <w:tcPr>
            <w:tcW w:w="1525" w:type="dxa"/>
            <w:tcBorders>
              <w:top w:val="single" w:sz="4" w:space="0" w:color="FFFFFF" w:themeColor="background1"/>
              <w:right w:val="nil"/>
            </w:tcBorders>
            <w:shd w:val="clear" w:color="auto" w:fill="DEEBF6"/>
            <w:vAlign w:val="center"/>
          </w:tcPr>
          <w:p w14:paraId="52F49D33" w14:textId="7C266E00" w:rsidR="00A26965" w:rsidRPr="00A26965" w:rsidRDefault="00A26965" w:rsidP="00133779">
            <w:pPr>
              <w:tabs>
                <w:tab w:val="left" w:pos="144"/>
              </w:tabs>
              <w:rPr>
                <w:b/>
                <w:sz w:val="18"/>
                <w:szCs w:val="18"/>
              </w:rPr>
            </w:pPr>
            <w:r w:rsidRPr="00A26965">
              <w:rPr>
                <w:b/>
                <w:sz w:val="18"/>
                <w:szCs w:val="18"/>
              </w:rPr>
              <w:t xml:space="preserve">4 </w:t>
            </w:r>
            <w:r w:rsidR="00133779">
              <w:rPr>
                <w:b/>
                <w:sz w:val="18"/>
                <w:szCs w:val="18"/>
              </w:rPr>
              <w:tab/>
            </w:r>
            <w:r w:rsidRPr="00A26965">
              <w:rPr>
                <w:b/>
                <w:sz w:val="18"/>
                <w:szCs w:val="18"/>
              </w:rPr>
              <w:t>Advanced High</w:t>
            </w:r>
          </w:p>
        </w:tc>
        <w:tc>
          <w:tcPr>
            <w:tcW w:w="2700" w:type="dxa"/>
            <w:tcBorders>
              <w:left w:val="nil"/>
            </w:tcBorders>
          </w:tcPr>
          <w:p w14:paraId="0D3F972E" w14:textId="5F0A8A88" w:rsidR="00A26965" w:rsidRPr="005857C1" w:rsidRDefault="00325438" w:rsidP="00A26965">
            <w:pPr>
              <w:widowControl w:val="0"/>
              <w:spacing w:before="40" w:after="40"/>
              <w:rPr>
                <w:color w:val="191818"/>
                <w:sz w:val="18"/>
                <w:szCs w:val="18"/>
              </w:rPr>
            </w:pPr>
            <w:r w:rsidRPr="00325438">
              <w:rPr>
                <w:color w:val="191818"/>
                <w:sz w:val="18"/>
                <w:szCs w:val="18"/>
              </w:rPr>
              <w:t xml:space="preserve">Advanced high ELLs </w:t>
            </w:r>
            <w:proofErr w:type="gramStart"/>
            <w:r w:rsidRPr="00325438">
              <w:rPr>
                <w:color w:val="191818"/>
                <w:sz w:val="18"/>
                <w:szCs w:val="18"/>
              </w:rPr>
              <w:t>have the ability to</w:t>
            </w:r>
            <w:proofErr w:type="gramEnd"/>
            <w:r w:rsidRPr="00325438">
              <w:rPr>
                <w:color w:val="191818"/>
                <w:sz w:val="18"/>
                <w:szCs w:val="18"/>
              </w:rPr>
              <w:t xml:space="preserve"> use the English language, with minimal second language acquisition support, to build foundational reading skills.</w:t>
            </w:r>
          </w:p>
        </w:tc>
        <w:tc>
          <w:tcPr>
            <w:tcW w:w="6660" w:type="dxa"/>
            <w:shd w:val="clear" w:color="auto" w:fill="auto"/>
          </w:tcPr>
          <w:p w14:paraId="270112F0" w14:textId="77777777" w:rsidR="00325438" w:rsidRPr="00325438" w:rsidRDefault="00325438" w:rsidP="00325438">
            <w:pPr>
              <w:pStyle w:val="ListParagraph"/>
              <w:widowControl w:val="0"/>
              <w:numPr>
                <w:ilvl w:val="0"/>
                <w:numId w:val="1"/>
              </w:numPr>
              <w:spacing w:before="40" w:after="40"/>
              <w:rPr>
                <w:color w:val="191818"/>
                <w:sz w:val="18"/>
                <w:szCs w:val="18"/>
              </w:rPr>
            </w:pPr>
            <w:r w:rsidRPr="00325438">
              <w:rPr>
                <w:color w:val="191818"/>
                <w:sz w:val="18"/>
                <w:szCs w:val="18"/>
              </w:rPr>
              <w:t>demonstrate, with minimal second language acquisition support and at a level nearly comparable to peers</w:t>
            </w:r>
          </w:p>
          <w:p w14:paraId="6F4057A7" w14:textId="77777777" w:rsidR="00325438" w:rsidRPr="00325438" w:rsidRDefault="00325438" w:rsidP="00325438">
            <w:pPr>
              <w:pStyle w:val="ListParagraph"/>
              <w:widowControl w:val="0"/>
              <w:numPr>
                <w:ilvl w:val="0"/>
                <w:numId w:val="1"/>
              </w:numPr>
              <w:spacing w:before="40" w:after="40"/>
              <w:rPr>
                <w:color w:val="191818"/>
                <w:sz w:val="18"/>
                <w:szCs w:val="18"/>
              </w:rPr>
            </w:pPr>
            <w:r w:rsidRPr="00325438">
              <w:rPr>
                <w:color w:val="191818"/>
                <w:sz w:val="18"/>
                <w:szCs w:val="18"/>
              </w:rPr>
              <w:t>with some exceptions, recognize sight vocabulary and high-frequency words nearly comparable to peers</w:t>
            </w:r>
          </w:p>
          <w:p w14:paraId="5B977788" w14:textId="126F930A" w:rsidR="00A26965" w:rsidRPr="005857C1" w:rsidRDefault="00325438" w:rsidP="00325438">
            <w:pPr>
              <w:pStyle w:val="ListParagraph"/>
              <w:widowControl w:val="0"/>
              <w:numPr>
                <w:ilvl w:val="0"/>
                <w:numId w:val="1"/>
              </w:numPr>
              <w:spacing w:before="40" w:after="40"/>
              <w:rPr>
                <w:color w:val="191818"/>
                <w:sz w:val="18"/>
                <w:szCs w:val="18"/>
              </w:rPr>
            </w:pPr>
            <w:r w:rsidRPr="00325438">
              <w:rPr>
                <w:color w:val="191818"/>
                <w:sz w:val="18"/>
                <w:szCs w:val="18"/>
              </w:rPr>
              <w:t>with minimal second language acquisition support, have an ability to decode and understand grade-appropriate English text nearly comparable to peers</w:t>
            </w:r>
          </w:p>
        </w:tc>
      </w:tr>
    </w:tbl>
    <w:tbl>
      <w:tblPr>
        <w:tblpPr w:leftFromText="187" w:rightFromText="187" w:vertAnchor="page" w:horzAnchor="margin" w:tblpY="10364"/>
        <w:tblW w:w="1089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250"/>
        <w:gridCol w:w="8640"/>
      </w:tblGrid>
      <w:tr w:rsidR="00325438" w14:paraId="53C48076" w14:textId="77777777" w:rsidTr="00325438">
        <w:trPr>
          <w:trHeight w:val="288"/>
        </w:trPr>
        <w:tc>
          <w:tcPr>
            <w:tcW w:w="10890" w:type="dxa"/>
            <w:gridSpan w:val="2"/>
            <w:tcBorders>
              <w:top w:val="nil"/>
              <w:left w:val="nil"/>
              <w:bottom w:val="single" w:sz="4" w:space="0" w:color="000000" w:themeColor="text1"/>
              <w:right w:val="nil"/>
            </w:tcBorders>
            <w:shd w:val="clear" w:color="auto" w:fill="auto"/>
            <w:vAlign w:val="center"/>
          </w:tcPr>
          <w:p w14:paraId="5C481117" w14:textId="19717040" w:rsidR="00325438" w:rsidRPr="00325438" w:rsidRDefault="00325438" w:rsidP="00BD12D3">
            <w:pPr>
              <w:keepNext/>
              <w:keepLines/>
              <w:tabs>
                <w:tab w:val="right" w:pos="14184"/>
              </w:tabs>
              <w:ind w:left="-106"/>
              <w:rPr>
                <w:rFonts w:ascii="Century Gothic" w:hAnsi="Century Gothic"/>
                <w:bCs/>
                <w:iCs/>
                <w:color w:val="FFFFFF"/>
                <w:sz w:val="22"/>
                <w:szCs w:val="22"/>
              </w:rPr>
            </w:pPr>
            <w:r w:rsidRPr="00325438">
              <w:rPr>
                <w:rFonts w:ascii="Century Gothic" w:hAnsi="Century Gothic"/>
                <w:bCs/>
                <w:iCs/>
                <w:color w:val="000000" w:themeColor="text1"/>
                <w:sz w:val="22"/>
                <w:szCs w:val="22"/>
              </w:rPr>
              <w:t>ELP Standards</w:t>
            </w:r>
          </w:p>
        </w:tc>
      </w:tr>
      <w:tr w:rsidR="00325438" w14:paraId="73D30D3E" w14:textId="77777777" w:rsidTr="00325438">
        <w:trPr>
          <w:trHeight w:val="28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8000"/>
            <w:vAlign w:val="center"/>
          </w:tcPr>
          <w:p w14:paraId="3481184B" w14:textId="77777777" w:rsidR="00325438" w:rsidRDefault="00325438" w:rsidP="00325438">
            <w:pPr>
              <w:keepNext/>
              <w:keepLines/>
              <w:tabs>
                <w:tab w:val="right" w:pos="14184"/>
              </w:tabs>
              <w:jc w:val="center"/>
              <w:rPr>
                <w:b/>
                <w:color w:val="FFFFFF"/>
                <w:sz w:val="15"/>
                <w:szCs w:val="15"/>
              </w:rPr>
            </w:pPr>
            <w:r>
              <w:rPr>
                <w:b/>
                <w:color w:val="FFFFFF"/>
                <w:sz w:val="15"/>
                <w:szCs w:val="15"/>
              </w:rPr>
              <w:t>Application</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578DBE86" w14:textId="77777777" w:rsidR="00325438" w:rsidRDefault="00325438" w:rsidP="00325438">
            <w:pPr>
              <w:keepLines/>
              <w:ind w:left="576"/>
              <w:jc w:val="center"/>
              <w:rPr>
                <w:b/>
                <w:sz w:val="15"/>
                <w:szCs w:val="15"/>
              </w:rPr>
            </w:pPr>
            <w:r>
              <w:rPr>
                <w:b/>
                <w:sz w:val="15"/>
                <w:szCs w:val="15"/>
              </w:rPr>
              <w:t>Instructional Focus</w:t>
            </w:r>
          </w:p>
        </w:tc>
      </w:tr>
      <w:tr w:rsidR="00325438" w14:paraId="6E524D1C" w14:textId="77777777" w:rsidTr="00325438">
        <w:trPr>
          <w:trHeight w:val="288"/>
        </w:trPr>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vAlign w:val="center"/>
          </w:tcPr>
          <w:p w14:paraId="02AFF951" w14:textId="39EC5E31" w:rsidR="00325438" w:rsidRDefault="00325438" w:rsidP="00325438">
            <w:pPr>
              <w:keepNext/>
              <w:keepLines/>
              <w:tabs>
                <w:tab w:val="right" w:pos="14184"/>
              </w:tabs>
              <w:rPr>
                <w:b/>
                <w:color w:val="FFFFFF"/>
                <w:sz w:val="15"/>
                <w:szCs w:val="15"/>
              </w:rPr>
            </w:pPr>
            <w:r>
              <w:rPr>
                <w:i/>
                <w:sz w:val="15"/>
                <w:szCs w:val="15"/>
              </w:rPr>
              <w:t xml:space="preserve">(4) The ELL reads a variety of texts for a variety of purposes with an increasing level of comprehension in all content areas. ELLs may be at the beginning, intermediate, advanced, or advanced high stage of English language acquisition in reading. </w:t>
            </w:r>
            <w:proofErr w:type="gramStart"/>
            <w:r>
              <w:rPr>
                <w:i/>
                <w:sz w:val="15"/>
                <w:szCs w:val="15"/>
              </w:rPr>
              <w:t>In order for</w:t>
            </w:r>
            <w:proofErr w:type="gramEnd"/>
            <w:r>
              <w:rPr>
                <w:i/>
                <w:sz w:val="15"/>
                <w:szCs w:val="15"/>
              </w:rPr>
              <w:t xml:space="preserve"> the ELL to meet grade-level learning expectations across the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apply to text read </w:t>
            </w:r>
            <w:r>
              <w:rPr>
                <w:i/>
                <w:sz w:val="15"/>
                <w:szCs w:val="15"/>
              </w:rPr>
              <w:lastRenderedPageBreak/>
              <w:t>aloud for students not yet at the stage of decoding written text.</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
            <w:tblPr>
              <w:tblW w:w="8610"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
              <w:gridCol w:w="8404"/>
            </w:tblGrid>
            <w:tr w:rsidR="00325438" w14:paraId="2E2CCFBD" w14:textId="77777777" w:rsidTr="0086519B">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tcPr>
                <w:p w14:paraId="63BFCBB0" w14:textId="77777777" w:rsidR="00325438" w:rsidRDefault="00325438" w:rsidP="000741A1">
                  <w:pPr>
                    <w:framePr w:hSpace="187" w:wrap="around" w:vAnchor="page" w:hAnchor="margin" w:y="10364"/>
                    <w:widowControl w:val="0"/>
                    <w:jc w:val="center"/>
                    <w:rPr>
                      <w:sz w:val="15"/>
                      <w:szCs w:val="15"/>
                    </w:rPr>
                  </w:pPr>
                  <w:r>
                    <w:rPr>
                      <w:sz w:val="15"/>
                      <w:szCs w:val="15"/>
                    </w:rPr>
                    <w:lastRenderedPageBreak/>
                    <w:t>(A)</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4FF61267" w14:textId="77777777" w:rsidR="00325438" w:rsidRDefault="00325438" w:rsidP="000741A1">
                  <w:pPr>
                    <w:framePr w:hSpace="187" w:wrap="around" w:vAnchor="page" w:hAnchor="margin" w:y="10364"/>
                    <w:widowControl w:val="0"/>
                    <w:spacing w:line="276" w:lineRule="auto"/>
                    <w:rPr>
                      <w:sz w:val="15"/>
                      <w:szCs w:val="15"/>
                    </w:rPr>
                  </w:pPr>
                  <w:r>
                    <w:rPr>
                      <w:sz w:val="15"/>
                      <w:szCs w:val="15"/>
                    </w:rPr>
                    <w:t>learn relationships between sounds and letters of the English language and decode (sound out) words using a combination of skills such as recognizing sound-letter relationships and identifying cognates, affixes, roots, and base words;</w:t>
                  </w:r>
                </w:p>
              </w:tc>
            </w:tr>
            <w:tr w:rsidR="00325438" w14:paraId="5E7C325C" w14:textId="77777777" w:rsidTr="0086519B">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tcPr>
                <w:p w14:paraId="082A42BB" w14:textId="77777777" w:rsidR="00325438" w:rsidRDefault="00325438" w:rsidP="000741A1">
                  <w:pPr>
                    <w:framePr w:hSpace="187" w:wrap="around" w:vAnchor="page" w:hAnchor="margin" w:y="10364"/>
                    <w:widowControl w:val="0"/>
                    <w:jc w:val="center"/>
                    <w:rPr>
                      <w:sz w:val="15"/>
                      <w:szCs w:val="15"/>
                    </w:rPr>
                  </w:pPr>
                  <w:r>
                    <w:rPr>
                      <w:sz w:val="15"/>
                      <w:szCs w:val="15"/>
                    </w:rPr>
                    <w:t>(B)</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584EB4D5" w14:textId="77777777" w:rsidR="00325438" w:rsidRDefault="00325438" w:rsidP="000741A1">
                  <w:pPr>
                    <w:framePr w:hSpace="187" w:wrap="around" w:vAnchor="page" w:hAnchor="margin" w:y="10364"/>
                    <w:widowControl w:val="0"/>
                    <w:spacing w:line="276" w:lineRule="auto"/>
                    <w:rPr>
                      <w:sz w:val="15"/>
                      <w:szCs w:val="15"/>
                    </w:rPr>
                  </w:pPr>
                  <w:r>
                    <w:rPr>
                      <w:sz w:val="15"/>
                      <w:szCs w:val="15"/>
                    </w:rPr>
                    <w:t>recognize directionality of English reading such as left to right and top to bottom;</w:t>
                  </w:r>
                </w:p>
              </w:tc>
            </w:tr>
            <w:tr w:rsidR="00325438" w14:paraId="5A54026E" w14:textId="77777777" w:rsidTr="0086519B">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tcPr>
                <w:p w14:paraId="5DA4CB3D" w14:textId="77777777" w:rsidR="00325438" w:rsidRDefault="00325438" w:rsidP="000741A1">
                  <w:pPr>
                    <w:framePr w:hSpace="187" w:wrap="around" w:vAnchor="page" w:hAnchor="margin" w:y="10364"/>
                    <w:widowControl w:val="0"/>
                    <w:jc w:val="center"/>
                    <w:rPr>
                      <w:sz w:val="15"/>
                      <w:szCs w:val="15"/>
                    </w:rPr>
                  </w:pPr>
                  <w:r>
                    <w:rPr>
                      <w:sz w:val="15"/>
                      <w:szCs w:val="15"/>
                    </w:rPr>
                    <w:t>(C)</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1615B882" w14:textId="77777777" w:rsidR="00325438" w:rsidRDefault="00325438" w:rsidP="000741A1">
                  <w:pPr>
                    <w:framePr w:hSpace="187" w:wrap="around" w:vAnchor="page" w:hAnchor="margin" w:y="10364"/>
                    <w:widowControl w:val="0"/>
                    <w:rPr>
                      <w:sz w:val="15"/>
                      <w:szCs w:val="15"/>
                    </w:rPr>
                  </w:pPr>
                  <w:r>
                    <w:rPr>
                      <w:sz w:val="15"/>
                      <w:szCs w:val="15"/>
                    </w:rPr>
                    <w:t>develop basic sight vocabulary, derive meaning of environmental print, and comprehend English vocabulary and language structures used routinely in written classroom materials</w:t>
                  </w:r>
                </w:p>
              </w:tc>
            </w:tr>
            <w:tr w:rsidR="00325438" w14:paraId="796C218E" w14:textId="77777777" w:rsidTr="0086519B">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3" w:type="dxa"/>
                    <w:left w:w="-43" w:type="dxa"/>
                    <w:bottom w:w="-43" w:type="dxa"/>
                    <w:right w:w="-43" w:type="dxa"/>
                  </w:tcMar>
                </w:tcPr>
                <w:p w14:paraId="63EE206F" w14:textId="77777777" w:rsidR="00325438" w:rsidRDefault="00325438" w:rsidP="000741A1">
                  <w:pPr>
                    <w:framePr w:hSpace="187" w:wrap="around" w:vAnchor="page" w:hAnchor="margin" w:y="10364"/>
                    <w:widowControl w:val="0"/>
                    <w:jc w:val="center"/>
                    <w:rPr>
                      <w:sz w:val="15"/>
                      <w:szCs w:val="15"/>
                    </w:rPr>
                  </w:pPr>
                  <w:r>
                    <w:rPr>
                      <w:sz w:val="15"/>
                      <w:szCs w:val="15"/>
                    </w:rPr>
                    <w:t>(D)</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415F206F" w14:textId="77777777" w:rsidR="00325438" w:rsidRDefault="00325438" w:rsidP="000741A1">
                  <w:pPr>
                    <w:framePr w:hSpace="187" w:wrap="around" w:vAnchor="page" w:hAnchor="margin" w:y="10364"/>
                    <w:widowControl w:val="0"/>
                    <w:rPr>
                      <w:sz w:val="15"/>
                      <w:szCs w:val="15"/>
                    </w:rPr>
                  </w:pPr>
                  <w:r>
                    <w:rPr>
                      <w:sz w:val="15"/>
                      <w:szCs w:val="15"/>
                    </w:rPr>
                    <w:t xml:space="preserve">use prereading supports such as graphic organizers, illustrations, and </w:t>
                  </w:r>
                  <w:proofErr w:type="spellStart"/>
                  <w:r>
                    <w:rPr>
                      <w:sz w:val="15"/>
                      <w:szCs w:val="15"/>
                    </w:rPr>
                    <w:t>pretaught</w:t>
                  </w:r>
                  <w:proofErr w:type="spellEnd"/>
                  <w:r>
                    <w:rPr>
                      <w:sz w:val="15"/>
                      <w:szCs w:val="15"/>
                    </w:rPr>
                    <w:t xml:space="preserve"> topic- related vocabulary and other prereading activities to enhance comprehension of written text</w:t>
                  </w:r>
                </w:p>
              </w:tc>
            </w:tr>
            <w:tr w:rsidR="00325438" w14:paraId="475F2705" w14:textId="77777777" w:rsidTr="0086519B">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44503F9E" w14:textId="77777777" w:rsidR="00325438" w:rsidRDefault="00325438" w:rsidP="000741A1">
                  <w:pPr>
                    <w:framePr w:hSpace="187" w:wrap="around" w:vAnchor="page" w:hAnchor="margin" w:y="10364"/>
                    <w:widowControl w:val="0"/>
                    <w:jc w:val="center"/>
                    <w:rPr>
                      <w:sz w:val="15"/>
                      <w:szCs w:val="15"/>
                    </w:rPr>
                  </w:pPr>
                  <w:r>
                    <w:rPr>
                      <w:sz w:val="15"/>
                      <w:szCs w:val="15"/>
                    </w:rPr>
                    <w:t>(E)</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55A573FA" w14:textId="77777777" w:rsidR="00325438" w:rsidRDefault="00325438" w:rsidP="000741A1">
                  <w:pPr>
                    <w:framePr w:hSpace="187" w:wrap="around" w:vAnchor="page" w:hAnchor="margin" w:y="10364"/>
                    <w:widowControl w:val="0"/>
                    <w:rPr>
                      <w:sz w:val="15"/>
                      <w:szCs w:val="15"/>
                    </w:rPr>
                  </w:pPr>
                  <w:r>
                    <w:rPr>
                      <w:sz w:val="15"/>
                      <w:szCs w:val="15"/>
                    </w:rPr>
                    <w:t>read linguistically accommodated content area material with a decreasing need for linguistic accommodations as more English is learned</w:t>
                  </w:r>
                </w:p>
              </w:tc>
            </w:tr>
            <w:tr w:rsidR="00325438" w14:paraId="17E81551" w14:textId="77777777" w:rsidTr="0086519B">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2868C58E" w14:textId="77777777" w:rsidR="00325438" w:rsidRDefault="00325438" w:rsidP="000741A1">
                  <w:pPr>
                    <w:framePr w:hSpace="187" w:wrap="around" w:vAnchor="page" w:hAnchor="margin" w:y="10364"/>
                    <w:widowControl w:val="0"/>
                    <w:jc w:val="center"/>
                    <w:rPr>
                      <w:sz w:val="15"/>
                      <w:szCs w:val="15"/>
                    </w:rPr>
                  </w:pPr>
                  <w:r>
                    <w:rPr>
                      <w:sz w:val="15"/>
                      <w:szCs w:val="15"/>
                    </w:rPr>
                    <w:t>(F)</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566FB126" w14:textId="7552D85F" w:rsidR="00325438" w:rsidRDefault="00325438" w:rsidP="000741A1">
                  <w:pPr>
                    <w:framePr w:hSpace="187" w:wrap="around" w:vAnchor="page" w:hAnchor="margin" w:y="10364"/>
                    <w:widowControl w:val="0"/>
                    <w:spacing w:line="276" w:lineRule="auto"/>
                    <w:rPr>
                      <w:sz w:val="15"/>
                      <w:szCs w:val="15"/>
                    </w:rPr>
                  </w:pPr>
                  <w:r>
                    <w:rPr>
                      <w:sz w:val="15"/>
                      <w:szCs w:val="15"/>
                    </w:rPr>
                    <w:t>use visual and contextual support and support from peers and teachers to read grade- appropriate content area text, enhance and confirm understanding, and develop vocabulary, grasp of language structures, and background knowledge needed to comprehend increasingly challenging language</w:t>
                  </w:r>
                </w:p>
                <w:p w14:paraId="15EBF379" w14:textId="77777777" w:rsidR="00325438" w:rsidRDefault="00325438" w:rsidP="000741A1">
                  <w:pPr>
                    <w:framePr w:hSpace="187" w:wrap="around" w:vAnchor="page" w:hAnchor="margin" w:y="10364"/>
                    <w:widowControl w:val="0"/>
                    <w:rPr>
                      <w:sz w:val="15"/>
                      <w:szCs w:val="15"/>
                    </w:rPr>
                  </w:pPr>
                </w:p>
              </w:tc>
            </w:tr>
            <w:tr w:rsidR="00325438" w14:paraId="0E17BE82" w14:textId="77777777" w:rsidTr="0086519B">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3D868C48" w14:textId="77777777" w:rsidR="00325438" w:rsidRDefault="00325438" w:rsidP="000741A1">
                  <w:pPr>
                    <w:framePr w:hSpace="187" w:wrap="around" w:vAnchor="page" w:hAnchor="margin" w:y="10364"/>
                    <w:widowControl w:val="0"/>
                    <w:jc w:val="center"/>
                    <w:rPr>
                      <w:sz w:val="15"/>
                      <w:szCs w:val="15"/>
                    </w:rPr>
                  </w:pPr>
                  <w:r>
                    <w:rPr>
                      <w:sz w:val="15"/>
                      <w:szCs w:val="15"/>
                    </w:rPr>
                    <w:t>(G)</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6DC08769" w14:textId="77777777" w:rsidR="00325438" w:rsidRDefault="00325438" w:rsidP="000741A1">
                  <w:pPr>
                    <w:framePr w:hSpace="187" w:wrap="around" w:vAnchor="page" w:hAnchor="margin" w:y="10364"/>
                    <w:widowControl w:val="0"/>
                    <w:spacing w:line="276" w:lineRule="auto"/>
                    <w:rPr>
                      <w:sz w:val="15"/>
                      <w:szCs w:val="15"/>
                    </w:rPr>
                  </w:pPr>
                  <w:r>
                    <w:rPr>
                      <w:sz w:val="15"/>
                      <w:szCs w:val="15"/>
                    </w:rPr>
                    <w:t>demonstrate comprehension of increasingly complex English by participating in shared reading, retelling or summarizing material, responding to questions, and taking notes commensurate with content area and grade level needs</w:t>
                  </w:r>
                </w:p>
              </w:tc>
            </w:tr>
            <w:tr w:rsidR="00325438" w14:paraId="13D61A4E" w14:textId="77777777" w:rsidTr="0086519B">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3FF44257" w14:textId="77777777" w:rsidR="00325438" w:rsidRDefault="00325438" w:rsidP="000741A1">
                  <w:pPr>
                    <w:framePr w:hSpace="187" w:wrap="around" w:vAnchor="page" w:hAnchor="margin" w:y="10364"/>
                    <w:widowControl w:val="0"/>
                    <w:jc w:val="center"/>
                    <w:rPr>
                      <w:sz w:val="15"/>
                      <w:szCs w:val="15"/>
                    </w:rPr>
                  </w:pPr>
                  <w:r>
                    <w:rPr>
                      <w:sz w:val="15"/>
                      <w:szCs w:val="15"/>
                    </w:rPr>
                    <w:t>(H)</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18A1D787" w14:textId="77777777" w:rsidR="00325438" w:rsidRDefault="00325438" w:rsidP="000741A1">
                  <w:pPr>
                    <w:framePr w:hSpace="187" w:wrap="around" w:vAnchor="page" w:hAnchor="margin" w:y="10364"/>
                    <w:widowControl w:val="0"/>
                    <w:spacing w:line="276" w:lineRule="auto"/>
                    <w:rPr>
                      <w:sz w:val="15"/>
                      <w:szCs w:val="15"/>
                    </w:rPr>
                  </w:pPr>
                  <w:r>
                    <w:rPr>
                      <w:sz w:val="15"/>
                      <w:szCs w:val="15"/>
                    </w:rPr>
                    <w:t>read silently with increasing ease and comprehension for longer periods;</w:t>
                  </w:r>
                </w:p>
              </w:tc>
            </w:tr>
            <w:tr w:rsidR="00325438" w14:paraId="6830809E" w14:textId="77777777" w:rsidTr="0086519B">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17BBE806" w14:textId="77777777" w:rsidR="00325438" w:rsidRDefault="00325438" w:rsidP="000741A1">
                  <w:pPr>
                    <w:framePr w:hSpace="187" w:wrap="around" w:vAnchor="page" w:hAnchor="margin" w:y="10364"/>
                    <w:widowControl w:val="0"/>
                    <w:jc w:val="center"/>
                    <w:rPr>
                      <w:sz w:val="15"/>
                      <w:szCs w:val="15"/>
                    </w:rPr>
                  </w:pPr>
                  <w:r>
                    <w:rPr>
                      <w:sz w:val="15"/>
                      <w:szCs w:val="15"/>
                    </w:rPr>
                    <w:lastRenderedPageBreak/>
                    <w:t>(I)</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1EC0DECF" w14:textId="77777777" w:rsidR="00325438" w:rsidRDefault="00325438" w:rsidP="000741A1">
                  <w:pPr>
                    <w:framePr w:hSpace="187" w:wrap="around" w:vAnchor="page" w:hAnchor="margin" w:y="10364"/>
                    <w:widowControl w:val="0"/>
                    <w:spacing w:line="276" w:lineRule="auto"/>
                    <w:rPr>
                      <w:sz w:val="15"/>
                      <w:szCs w:val="15"/>
                    </w:rPr>
                  </w:pPr>
                  <w:r>
                    <w:rPr>
                      <w:sz w:val="15"/>
                      <w:szCs w:val="15"/>
                    </w:rPr>
                    <w:t>demonstrate English comprehension and expand reading skills by employing basic reading skills such as demonstrating understanding of supporting ideas and details in text and graphic sources, summarizing text, and distinguishing main ideas from details commensurate with content area needs</w:t>
                  </w:r>
                </w:p>
              </w:tc>
            </w:tr>
            <w:tr w:rsidR="00325438" w14:paraId="23B728D6" w14:textId="77777777" w:rsidTr="0086519B">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27C309F0" w14:textId="77777777" w:rsidR="00325438" w:rsidRDefault="00325438" w:rsidP="000741A1">
                  <w:pPr>
                    <w:framePr w:hSpace="187" w:wrap="around" w:vAnchor="page" w:hAnchor="margin" w:y="10364"/>
                    <w:widowControl w:val="0"/>
                    <w:jc w:val="center"/>
                    <w:rPr>
                      <w:sz w:val="15"/>
                      <w:szCs w:val="15"/>
                    </w:rPr>
                  </w:pPr>
                  <w:r>
                    <w:rPr>
                      <w:sz w:val="15"/>
                      <w:szCs w:val="15"/>
                    </w:rPr>
                    <w:t>(J)</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0060FC2E" w14:textId="77777777" w:rsidR="00325438" w:rsidRDefault="00325438" w:rsidP="000741A1">
                  <w:pPr>
                    <w:framePr w:hSpace="187" w:wrap="around" w:vAnchor="page" w:hAnchor="margin" w:y="10364"/>
                    <w:widowControl w:val="0"/>
                    <w:spacing w:line="276" w:lineRule="auto"/>
                    <w:rPr>
                      <w:sz w:val="15"/>
                      <w:szCs w:val="15"/>
                    </w:rPr>
                  </w:pPr>
                  <w:r>
                    <w:rPr>
                      <w:sz w:val="15"/>
                      <w:szCs w:val="15"/>
                    </w:rPr>
                    <w:t>demonstrate English comprehension and expand reading skills by employing inferential skills such as predicting, making connections between ideas, drawing inferences and conclusions from text and graphic sources, and finding supporting text evidence commensurate with content area needs</w:t>
                  </w:r>
                </w:p>
              </w:tc>
            </w:tr>
            <w:tr w:rsidR="00325438" w14:paraId="7F39C446" w14:textId="77777777" w:rsidTr="0086519B">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44A64F18" w14:textId="77777777" w:rsidR="00325438" w:rsidRDefault="00325438" w:rsidP="000741A1">
                  <w:pPr>
                    <w:framePr w:hSpace="187" w:wrap="around" w:vAnchor="page" w:hAnchor="margin" w:y="10364"/>
                    <w:widowControl w:val="0"/>
                    <w:jc w:val="center"/>
                    <w:rPr>
                      <w:sz w:val="15"/>
                      <w:szCs w:val="15"/>
                    </w:rPr>
                  </w:pPr>
                  <w:r>
                    <w:rPr>
                      <w:sz w:val="15"/>
                      <w:szCs w:val="15"/>
                    </w:rPr>
                    <w:t>(K)</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3B351A2B" w14:textId="77777777" w:rsidR="00325438" w:rsidRDefault="00325438" w:rsidP="000741A1">
                  <w:pPr>
                    <w:framePr w:hSpace="187" w:wrap="around" w:vAnchor="page" w:hAnchor="margin" w:y="10364"/>
                    <w:widowControl w:val="0"/>
                    <w:spacing w:line="276" w:lineRule="auto"/>
                    <w:rPr>
                      <w:sz w:val="15"/>
                      <w:szCs w:val="15"/>
                    </w:rPr>
                  </w:pPr>
                  <w:r>
                    <w:rPr>
                      <w:sz w:val="15"/>
                      <w:szCs w:val="15"/>
                    </w:rPr>
                    <w:t>demonstrate English comprehension and expand reading skills by employing analytical skills such as evaluating written information and performing critical analyses commensurate with content area and grade-level needs</w:t>
                  </w:r>
                </w:p>
              </w:tc>
            </w:tr>
          </w:tbl>
          <w:p w14:paraId="33FC3A38" w14:textId="77777777" w:rsidR="00325438" w:rsidRDefault="00325438" w:rsidP="00325438">
            <w:pPr>
              <w:keepLines/>
              <w:ind w:left="69"/>
              <w:rPr>
                <w:b/>
                <w:sz w:val="15"/>
                <w:szCs w:val="15"/>
              </w:rPr>
            </w:pPr>
          </w:p>
        </w:tc>
      </w:tr>
    </w:tbl>
    <w:p w14:paraId="608ACD8F" w14:textId="78ABFFD5" w:rsidR="004F407C" w:rsidRDefault="004F407C" w:rsidP="0029413C">
      <w:pPr>
        <w:rPr>
          <w:color w:val="141413"/>
          <w:sz w:val="18"/>
          <w:szCs w:val="18"/>
        </w:rPr>
      </w:pPr>
    </w:p>
    <w:p w14:paraId="6B7BC0DA" w14:textId="77777777" w:rsidR="00325438" w:rsidRDefault="00325438" w:rsidP="0029413C">
      <w:pPr>
        <w:rPr>
          <w:color w:val="141413"/>
          <w:sz w:val="18"/>
          <w:szCs w:val="18"/>
        </w:rPr>
      </w:pPr>
    </w:p>
    <w:sectPr w:rsidR="00325438" w:rsidSect="004F407C">
      <w:headerReference w:type="default" r:id="rId7"/>
      <w:footerReference w:type="default" r:id="rId8"/>
      <w:pgSz w:w="12240" w:h="15840"/>
      <w:pgMar w:top="1260" w:right="720" w:bottom="720" w:left="720" w:header="504"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DBB6" w14:textId="77777777" w:rsidR="000A5926" w:rsidRDefault="000A5926">
      <w:r>
        <w:separator/>
      </w:r>
    </w:p>
  </w:endnote>
  <w:endnote w:type="continuationSeparator" w:id="0">
    <w:p w14:paraId="1F0FC0BF" w14:textId="77777777" w:rsidR="000A5926" w:rsidRDefault="000A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B975" w14:textId="49B62ABF" w:rsidR="00256A7D" w:rsidRPr="00256A7D" w:rsidRDefault="00256A7D" w:rsidP="00256A7D">
    <w:pPr>
      <w:pBdr>
        <w:top w:val="nil"/>
        <w:left w:val="nil"/>
        <w:bottom w:val="nil"/>
        <w:right w:val="nil"/>
        <w:between w:val="nil"/>
      </w:pBdr>
      <w:tabs>
        <w:tab w:val="center" w:pos="5400"/>
        <w:tab w:val="left" w:pos="8910"/>
        <w:tab w:val="right" w:pos="10800"/>
      </w:tabs>
      <w:rPr>
        <w:color w:val="000000"/>
        <w:sz w:val="16"/>
        <w:szCs w:val="16"/>
      </w:rPr>
    </w:pPr>
    <w:r>
      <w:rPr>
        <w:color w:val="000000"/>
        <w:sz w:val="16"/>
        <w:szCs w:val="16"/>
      </w:rPr>
      <w:t>© lead4ward</w:t>
    </w:r>
    <w:r>
      <w:rPr>
        <w:color w:val="000000"/>
        <w:sz w:val="16"/>
        <w:szCs w:val="16"/>
      </w:rPr>
      <w:tab/>
      <w:t>Source: Texas Education Agency</w:t>
    </w:r>
    <w:r>
      <w:rPr>
        <w:color w:val="000000"/>
        <w:sz w:val="16"/>
        <w:szCs w:val="16"/>
      </w:rPr>
      <w:tab/>
      <w:t>v. 12.10.24</w:t>
    </w:r>
    <w:r>
      <w:rPr>
        <w:color w:val="000000"/>
        <w:sz w:val="16"/>
        <w:szCs w:val="16"/>
      </w:rPr>
      <w:tab/>
      <w:t xml:space="preserve">p. </w:t>
    </w:r>
    <w:r>
      <w:rPr>
        <w:color w:val="000000"/>
        <w:sz w:val="16"/>
        <w:szCs w:val="16"/>
      </w:rPr>
      <w:fldChar w:fldCharType="begin"/>
    </w:r>
    <w:r>
      <w:rPr>
        <w:color w:val="000000"/>
        <w:sz w:val="16"/>
        <w:szCs w:val="16"/>
      </w:rPr>
      <w:instrText xml:space="preserve"> PAGE  \* Arabic  \* MERGEFORMAT </w:instrText>
    </w:r>
    <w:r>
      <w:rPr>
        <w:color w:val="000000"/>
        <w:sz w:val="16"/>
        <w:szCs w:val="16"/>
      </w:rPr>
      <w:fldChar w:fldCharType="separate"/>
    </w:r>
    <w:r>
      <w:rPr>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 MERGEFORMAT </w:instrText>
    </w:r>
    <w:r>
      <w:rPr>
        <w:color w:val="000000"/>
        <w:sz w:val="16"/>
        <w:szCs w:val="16"/>
      </w:rPr>
      <w:fldChar w:fldCharType="separate"/>
    </w:r>
    <w:r>
      <w:rPr>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70737" w14:textId="77777777" w:rsidR="000A5926" w:rsidRDefault="000A5926">
      <w:r>
        <w:separator/>
      </w:r>
    </w:p>
  </w:footnote>
  <w:footnote w:type="continuationSeparator" w:id="0">
    <w:p w14:paraId="3048CCE3" w14:textId="77777777" w:rsidR="000A5926" w:rsidRDefault="000A5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27AB" w14:textId="47710677" w:rsidR="00256A7D" w:rsidRDefault="00256A7D" w:rsidP="00256A7D">
    <w:pPr>
      <w:pStyle w:val="Header"/>
      <w:tabs>
        <w:tab w:val="clear" w:pos="4680"/>
        <w:tab w:val="clear" w:pos="9360"/>
        <w:tab w:val="right" w:pos="10962"/>
      </w:tabs>
      <w:ind w:right="-180"/>
    </w:pPr>
    <w:r w:rsidRPr="002D52EF">
      <w:rPr>
        <w:rFonts w:ascii="Century Gothic" w:hAnsi="Century Gothic"/>
        <w:color w:val="035EA0"/>
      </w:rPr>
      <w:t xml:space="preserve">Grades K-1 Proficiency Level Descriptors: </w:t>
    </w:r>
    <w:r w:rsidR="00325438">
      <w:rPr>
        <w:rFonts w:ascii="Century Gothic" w:hAnsi="Century Gothic"/>
        <w:color w:val="035EA0"/>
      </w:rPr>
      <w:t>Reading</w:t>
    </w:r>
    <w:r>
      <w:tab/>
    </w:r>
    <w:r>
      <w:rPr>
        <w:noProof/>
      </w:rPr>
      <w:drawing>
        <wp:inline distT="0" distB="0" distL="0" distR="0" wp14:anchorId="78DC7940" wp14:editId="3D248602">
          <wp:extent cx="691897" cy="155448"/>
          <wp:effectExtent l="0" t="0" r="0" b="0"/>
          <wp:docPr id="152940320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0700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1897" cy="155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01206"/>
    <w:multiLevelType w:val="hybridMultilevel"/>
    <w:tmpl w:val="286AD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7D3A1C"/>
    <w:multiLevelType w:val="hybridMultilevel"/>
    <w:tmpl w:val="BE764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1C712A"/>
    <w:multiLevelType w:val="multilevel"/>
    <w:tmpl w:val="2AB84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1718AA"/>
    <w:multiLevelType w:val="multilevel"/>
    <w:tmpl w:val="AE52319E"/>
    <w:lvl w:ilvl="0">
      <w:start w:val="1"/>
      <w:numFmt w:val="bullet"/>
      <w:lvlText w:val="●"/>
      <w:lvlJc w:val="left"/>
      <w:pPr>
        <w:ind w:left="180" w:firstLine="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D00AAC"/>
    <w:multiLevelType w:val="multilevel"/>
    <w:tmpl w:val="30B026B4"/>
    <w:lvl w:ilvl="0">
      <w:start w:val="1"/>
      <w:numFmt w:val="bullet"/>
      <w:lvlText w:val="●"/>
      <w:lvlJc w:val="left"/>
      <w:pPr>
        <w:ind w:left="720" w:hanging="45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CF4C9C"/>
    <w:multiLevelType w:val="multilevel"/>
    <w:tmpl w:val="8C1C7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1642655">
    <w:abstractNumId w:val="1"/>
  </w:num>
  <w:num w:numId="2" w16cid:durableId="2136292321">
    <w:abstractNumId w:val="4"/>
  </w:num>
  <w:num w:numId="3" w16cid:durableId="1088623341">
    <w:abstractNumId w:val="2"/>
  </w:num>
  <w:num w:numId="4" w16cid:durableId="1401247176">
    <w:abstractNumId w:val="0"/>
  </w:num>
  <w:num w:numId="5" w16cid:durableId="408432595">
    <w:abstractNumId w:val="5"/>
  </w:num>
  <w:num w:numId="6" w16cid:durableId="1995335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16"/>
    <w:rsid w:val="000741A1"/>
    <w:rsid w:val="000A5926"/>
    <w:rsid w:val="00133779"/>
    <w:rsid w:val="001548BB"/>
    <w:rsid w:val="00256A7D"/>
    <w:rsid w:val="0029413C"/>
    <w:rsid w:val="002A5EDA"/>
    <w:rsid w:val="002D52EF"/>
    <w:rsid w:val="002D7084"/>
    <w:rsid w:val="003132C9"/>
    <w:rsid w:val="00325438"/>
    <w:rsid w:val="003C2CDE"/>
    <w:rsid w:val="00420453"/>
    <w:rsid w:val="0045344B"/>
    <w:rsid w:val="00483960"/>
    <w:rsid w:val="004F407C"/>
    <w:rsid w:val="005857C1"/>
    <w:rsid w:val="005A7AC5"/>
    <w:rsid w:val="0060742B"/>
    <w:rsid w:val="006F3193"/>
    <w:rsid w:val="007A5961"/>
    <w:rsid w:val="007B3D4F"/>
    <w:rsid w:val="00841C2F"/>
    <w:rsid w:val="0086161C"/>
    <w:rsid w:val="0089690F"/>
    <w:rsid w:val="008C5816"/>
    <w:rsid w:val="009B2B72"/>
    <w:rsid w:val="009F418E"/>
    <w:rsid w:val="00A26965"/>
    <w:rsid w:val="00BD12D3"/>
    <w:rsid w:val="00C75BBD"/>
    <w:rsid w:val="00C962A7"/>
    <w:rsid w:val="00CA4037"/>
    <w:rsid w:val="00CB7C88"/>
    <w:rsid w:val="00CD29CE"/>
    <w:rsid w:val="00D20CD4"/>
    <w:rsid w:val="00F55BBF"/>
    <w:rsid w:val="00FA71ED"/>
    <w:rsid w:val="00FD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6A10"/>
  <w15:docId w15:val="{9FCC2933-183E-CD41-993D-3DF15CFF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sz w:val="56"/>
      <w:szCs w:val="56"/>
    </w:rPr>
  </w:style>
  <w:style w:type="paragraph" w:styleId="Subtitle">
    <w:name w:val="Subtitle"/>
    <w:basedOn w:val="Normal"/>
    <w:next w:val="Normal"/>
    <w:uiPriority w:val="11"/>
    <w:qFormat/>
    <w:pPr>
      <w:spacing w:after="160"/>
    </w:pPr>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52EF"/>
    <w:pPr>
      <w:tabs>
        <w:tab w:val="center" w:pos="4680"/>
        <w:tab w:val="right" w:pos="9360"/>
      </w:tabs>
    </w:pPr>
  </w:style>
  <w:style w:type="character" w:customStyle="1" w:styleId="HeaderChar">
    <w:name w:val="Header Char"/>
    <w:basedOn w:val="DefaultParagraphFont"/>
    <w:link w:val="Header"/>
    <w:uiPriority w:val="99"/>
    <w:rsid w:val="002D52EF"/>
  </w:style>
  <w:style w:type="paragraph" w:styleId="Footer">
    <w:name w:val="footer"/>
    <w:basedOn w:val="Normal"/>
    <w:link w:val="FooterChar"/>
    <w:uiPriority w:val="99"/>
    <w:unhideWhenUsed/>
    <w:rsid w:val="002D52EF"/>
    <w:pPr>
      <w:tabs>
        <w:tab w:val="center" w:pos="4680"/>
        <w:tab w:val="right" w:pos="9360"/>
      </w:tabs>
    </w:pPr>
  </w:style>
  <w:style w:type="character" w:customStyle="1" w:styleId="FooterChar">
    <w:name w:val="Footer Char"/>
    <w:basedOn w:val="DefaultParagraphFont"/>
    <w:link w:val="Footer"/>
    <w:uiPriority w:val="99"/>
    <w:rsid w:val="002D52EF"/>
  </w:style>
  <w:style w:type="paragraph" w:styleId="ListParagraph">
    <w:name w:val="List Paragraph"/>
    <w:basedOn w:val="Normal"/>
    <w:uiPriority w:val="34"/>
    <w:qFormat/>
    <w:rsid w:val="00A26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L</dc:creator>
  <cp:lastModifiedBy>Celina Meraz</cp:lastModifiedBy>
  <cp:revision>13</cp:revision>
  <cp:lastPrinted>2024-12-10T22:56:00Z</cp:lastPrinted>
  <dcterms:created xsi:type="dcterms:W3CDTF">2024-12-10T21:32:00Z</dcterms:created>
  <dcterms:modified xsi:type="dcterms:W3CDTF">2025-01-28T19:53:00Z</dcterms:modified>
</cp:coreProperties>
</file>